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March 06, 2024 by and between the following parties:</w:t>
        <w:br/>
      </w:r>
    </w:p>
    <w:p>
      <w:r>
        <w:t>Disclosing Party: Rush, Sexton and Jones</w:t>
        <w:br/>
        <w:t>Address: 884 Mckenzie Unions Apt. 111, West Gerald, CA 93696</w:t>
        <w:br/>
      </w:r>
    </w:p>
    <w:p>
      <w:r>
        <w:t>Receiving Party: Ashley Frank DDS</w:t>
        <w:br/>
        <w:t>Address: 43988 Gregory Flats, North Larry, NY 95734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013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Rush,_Sexton_and_Jon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1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4428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shley_Frank_D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42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