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April 07, 2024 by and between the following individuals:</w:t>
        <w:br/>
      </w:r>
    </w:p>
    <w:p>
      <w:r>
        <w:t>Partner 1: Charles Martinez</w:t>
        <w:br/>
        <w:t>Address: 558 Adam Crossroad, Lake Annchester, CA 63377</w:t>
        <w:br/>
      </w:r>
    </w:p>
    <w:p>
      <w:r>
        <w:t>Partner 2: Alison Braun</w:t>
        <w:br/>
        <w:t>Address: 94802 Diaz Prairie Apt. 362, Lake Victoria, MP 65961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Multi-lateral mission-critical task-force.</w:t>
      </w:r>
    </w:p>
    <w:p>
      <w:r>
        <w:rPr>
          <w:b/>
        </w:rPr>
        <w:t xml:space="preserve">2. Name of the Partnership: </w:t>
      </w:r>
      <w:r>
        <w:t>The partnership shall operate under the name 'Allen and Sons'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Charles Martinez: $10,000 (50% Share)</w:t>
        <w:br/>
        <w:t xml:space="preserve"> - Alison Braun: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Oklahoma.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07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arles_Martine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0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26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ison_Brau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