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December 05, 2024 by and between the following individuals:</w:t>
        <w:br/>
      </w:r>
    </w:p>
    <w:p>
      <w:r>
        <w:t>Partner 1: Courtney Rice</w:t>
        <w:br/>
        <w:t>Address: 135 Tyler Mountains Suite 420, Larsonberg, DC 37547</w:t>
        <w:br/>
      </w:r>
    </w:p>
    <w:p>
      <w:r>
        <w:t>Partner 2: Christina Mcpherson</w:t>
        <w:br/>
        <w:t>Address: 2670 Grant Vista, Alexanderland, HI 31267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Innovative mobile throughput.</w:t>
      </w:r>
    </w:p>
    <w:p>
      <w:r>
        <w:rPr>
          <w:b/>
        </w:rPr>
        <w:t xml:space="preserve">2. Name of the Partnership: </w:t>
      </w:r>
      <w:r>
        <w:t>The partnership shall operate under the name 'Edwards-Conner'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Courtney Rice: $10,000 (50% Share)</w:t>
        <w:br/>
        <w:t xml:space="preserve"> - Christina Mcpherson: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Massachusetts.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6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ourtney_Ri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6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768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ristina_Mcpher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6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