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April 20, 2024 by and between the following individuals:</w:t>
        <w:br/>
      </w:r>
    </w:p>
    <w:p>
      <w:r>
        <w:t>Partner 1: Duane Thomas</w:t>
        <w:br/>
        <w:t>Address: 0479 Myers Isle Suite 736, North Krystalview, RI 20756</w:t>
        <w:br/>
      </w:r>
    </w:p>
    <w:p>
      <w:r>
        <w:t>Partner 2: Ann Day</w:t>
        <w:br/>
        <w:t>Address: 642 Brown Cape Apt. 795, Ronaldburgh, AZ 84215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Multi-channeled 4thgeneration application.</w:t>
      </w:r>
    </w:p>
    <w:p>
      <w:r>
        <w:rPr>
          <w:b/>
        </w:rPr>
        <w:t xml:space="preserve">2. Name of the Partnership: </w:t>
      </w:r>
      <w:r>
        <w:t>The partnership shall operate under the name 'Cobb-Moran'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Duane Thomas: $10,000 (50% Share)</w:t>
        <w:br/>
        <w:t xml:space="preserve"> - Ann Day: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Massachusetts.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3789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uane_Thom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8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905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nn_D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0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