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January 22, 2025 by and between the following individuals:</w:t>
        <w:br/>
      </w:r>
    </w:p>
    <w:p>
      <w:r>
        <w:t>Partner 1: Jordan Nash</w:t>
        <w:br/>
        <w:t>Address: 482 Whitney Unions Suite 564, Goodwinmouth, HI 80951</w:t>
        <w:br/>
      </w:r>
    </w:p>
    <w:p>
      <w:r>
        <w:t>Partner 2: Angela Williams</w:t>
        <w:br/>
        <w:t>Address: 37365 Blevins Streets, Stewartland, TX 27119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Re-contextualized empowering installation.</w:t>
      </w:r>
    </w:p>
    <w:p>
      <w:r>
        <w:rPr>
          <w:b/>
        </w:rPr>
        <w:t xml:space="preserve">2. Name of the Partnership: </w:t>
      </w:r>
      <w:r>
        <w:t>The partnership shall operate under the name 'Floyd, Woods and Love'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Jordan Nash: $10,000 (50% Share)</w:t>
        <w:br/>
        <w:t xml:space="preserve"> - Angela Williams: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Wisconsin.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0727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ordan_Nas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2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83944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Angela_William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94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