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0C3" w:rsidRPr="001B749A" w:rsidRDefault="00AD60C3" w:rsidP="001B749A">
      <w:pPr>
        <w:spacing w:line="360" w:lineRule="auto"/>
        <w:jc w:val="center"/>
        <w:rPr>
          <w:rFonts w:ascii="Arial" w:hAnsi="Arial" w:cs="Arial"/>
          <w:b/>
        </w:rPr>
      </w:pPr>
      <w:r w:rsidRPr="001B749A">
        <w:rPr>
          <w:rFonts w:ascii="Arial" w:hAnsi="Arial" w:cs="Arial"/>
          <w:b/>
        </w:rPr>
        <w:t>METADATOS</w:t>
      </w:r>
    </w:p>
    <w:p w:rsidR="000E15B3" w:rsidRPr="001B749A" w:rsidRDefault="00AD60C3" w:rsidP="001B749A">
      <w:pPr>
        <w:spacing w:line="360" w:lineRule="auto"/>
        <w:rPr>
          <w:rFonts w:ascii="Arial" w:hAnsi="Arial" w:cs="Arial"/>
        </w:rPr>
      </w:pPr>
      <w:r w:rsidRPr="001B749A">
        <w:rPr>
          <w:rFonts w:ascii="Arial" w:hAnsi="Arial" w:cs="Arial"/>
        </w:rPr>
        <w:t>Metadatos del DATASET:  INVENTARIO DE EQUIPOS DE CÓMPUTO EN LA MUNICIPALIDAD DEL DISTRITO DE LURÍN - [MDL]</w:t>
      </w:r>
    </w:p>
    <w:tbl>
      <w:tblPr>
        <w:tblStyle w:val="Tablaconcuadrcula"/>
        <w:tblW w:w="0" w:type="auto"/>
        <w:tblLook w:val="04A0" w:firstRow="1" w:lastRow="0" w:firstColumn="1" w:lastColumn="0" w:noHBand="0" w:noVBand="1"/>
      </w:tblPr>
      <w:tblGrid>
        <w:gridCol w:w="2972"/>
        <w:gridCol w:w="6662"/>
      </w:tblGrid>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Título</w:t>
            </w:r>
          </w:p>
        </w:tc>
        <w:tc>
          <w:tcPr>
            <w:tcW w:w="6662" w:type="dxa"/>
          </w:tcPr>
          <w:p w:rsidR="00AD60C3" w:rsidRPr="001B749A" w:rsidRDefault="00AD60C3" w:rsidP="00AD60C3">
            <w:pPr>
              <w:rPr>
                <w:rFonts w:ascii="Arial" w:hAnsi="Arial" w:cs="Arial"/>
              </w:rPr>
            </w:pPr>
            <w:r w:rsidRPr="001B749A">
              <w:rPr>
                <w:rFonts w:ascii="Arial" w:hAnsi="Arial" w:cs="Arial"/>
              </w:rPr>
              <w:t>INVENTARIO DE EQUIPOS DE CÓMPUTO EN LA MUNICIPALIDAD DEL DISTRITO DE LURÍN - [MDL]</w:t>
            </w:r>
          </w:p>
        </w:tc>
      </w:tr>
      <w:tr w:rsidR="00AD60C3" w:rsidRPr="001B749A" w:rsidTr="00AD60C3">
        <w:tc>
          <w:tcPr>
            <w:tcW w:w="2972" w:type="dxa"/>
          </w:tcPr>
          <w:p w:rsidR="00AD60C3" w:rsidRPr="001B749A" w:rsidRDefault="00AD60C3" w:rsidP="001B749A">
            <w:pPr>
              <w:rPr>
                <w:rFonts w:ascii="Arial" w:hAnsi="Arial" w:cs="Arial"/>
              </w:rPr>
            </w:pPr>
            <w:r w:rsidRPr="001B749A">
              <w:rPr>
                <w:rFonts w:ascii="Arial" w:hAnsi="Arial" w:cs="Arial"/>
              </w:rPr>
              <w:t xml:space="preserve">Título </w:t>
            </w:r>
            <w:r w:rsidR="001B749A">
              <w:rPr>
                <w:rFonts w:ascii="Arial" w:hAnsi="Arial" w:cs="Arial"/>
              </w:rPr>
              <w:t>URL</w:t>
            </w:r>
            <w:r w:rsidRPr="001B749A">
              <w:rPr>
                <w:rFonts w:ascii="Arial" w:hAnsi="Arial" w:cs="Arial"/>
              </w:rPr>
              <w:t xml:space="preserve"> descripción</w:t>
            </w:r>
          </w:p>
        </w:tc>
        <w:tc>
          <w:tcPr>
            <w:tcW w:w="6662" w:type="dxa"/>
          </w:tcPr>
          <w:p w:rsidR="00AD60C3" w:rsidRPr="001B749A" w:rsidRDefault="00E72A52" w:rsidP="00AD60C3">
            <w:pPr>
              <w:rPr>
                <w:rFonts w:ascii="Arial" w:hAnsi="Arial" w:cs="Arial"/>
              </w:rPr>
            </w:pPr>
            <w:r w:rsidRPr="00E72A52">
              <w:rPr>
                <w:rFonts w:ascii="Arial" w:hAnsi="Arial" w:cs="Arial"/>
              </w:rPr>
              <w:t>https://www.datosabiertos.gob.pe/dataset/inventario-de-equipos-de-cómputo-en-la-municipalidad-del-distrito-de-lurín-mdl</w:t>
            </w:r>
          </w:p>
        </w:tc>
      </w:tr>
      <w:tr w:rsidR="00AD60C3" w:rsidRPr="001B749A" w:rsidTr="00AD60C3">
        <w:tc>
          <w:tcPr>
            <w:tcW w:w="2972" w:type="dxa"/>
          </w:tcPr>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p>
          <w:p w:rsidR="00AD60C3" w:rsidRPr="001B749A" w:rsidRDefault="00AD60C3" w:rsidP="00AD60C3">
            <w:pPr>
              <w:rPr>
                <w:rFonts w:ascii="Arial" w:hAnsi="Arial" w:cs="Arial"/>
              </w:rPr>
            </w:pPr>
            <w:r w:rsidRPr="001B749A">
              <w:rPr>
                <w:rFonts w:ascii="Arial" w:hAnsi="Arial" w:cs="Arial"/>
              </w:rPr>
              <w:t>Descripción</w:t>
            </w:r>
          </w:p>
        </w:tc>
        <w:tc>
          <w:tcPr>
            <w:tcW w:w="6662" w:type="dxa"/>
          </w:tcPr>
          <w:p w:rsidR="00AD60C3" w:rsidRPr="001B749A" w:rsidRDefault="00AD60C3" w:rsidP="00AD60C3">
            <w:pPr>
              <w:rPr>
                <w:rFonts w:ascii="Arial" w:hAnsi="Arial" w:cs="Arial"/>
              </w:rPr>
            </w:pPr>
            <w:r w:rsidRPr="001B749A">
              <w:rPr>
                <w:rFonts w:ascii="Arial" w:hAnsi="Arial" w:cs="Arial"/>
              </w:rPr>
              <w:t xml:space="preserve">Inventario de los equipos de cómputo de la Municipalidad Distrital de Lurín, los registros contenidos en </w:t>
            </w:r>
            <w:bookmarkStart w:id="0" w:name="_GoBack"/>
            <w:bookmarkEnd w:id="0"/>
            <w:r w:rsidR="00061899" w:rsidRPr="001B749A">
              <w:rPr>
                <w:rFonts w:ascii="Arial" w:hAnsi="Arial" w:cs="Arial"/>
              </w:rPr>
              <w:t>el</w:t>
            </w:r>
            <w:r w:rsidR="00061899">
              <w:rPr>
                <w:rFonts w:ascii="Arial" w:hAnsi="Arial" w:cs="Arial"/>
              </w:rPr>
              <w:t xml:space="preserve"> </w:t>
            </w:r>
            <w:r w:rsidR="00061899" w:rsidRPr="001B749A">
              <w:rPr>
                <w:rFonts w:ascii="Arial" w:hAnsi="Arial" w:cs="Arial"/>
              </w:rPr>
              <w:t>presente</w:t>
            </w:r>
            <w:r w:rsidRPr="001B749A">
              <w:rPr>
                <w:rFonts w:ascii="Arial" w:hAnsi="Arial" w:cs="Arial"/>
              </w:rPr>
              <w:t xml:space="preserve"> DATASET, fueron obtenidos a través de una base de datos, la cual fue realizada por la Subgerencia de Tecnologías de la Información en función a todos los equipos de cómputo encontrados. </w:t>
            </w:r>
          </w:p>
          <w:p w:rsidR="00AD60C3" w:rsidRPr="001B749A" w:rsidRDefault="00AD60C3" w:rsidP="00AD60C3">
            <w:pPr>
              <w:rPr>
                <w:rFonts w:ascii="Arial" w:hAnsi="Arial" w:cs="Arial"/>
              </w:rPr>
            </w:pPr>
            <w:r w:rsidRPr="001B749A">
              <w:rPr>
                <w:rFonts w:ascii="Arial" w:hAnsi="Arial" w:cs="Arial"/>
              </w:rPr>
              <w:t>Como puntos a resaltar, tenemos los casos de CP18, CP19, CP20 y CP21, de CPU’S, MONITORES Y TECLADOS, en estos casos se logran apreciar celdas en blanco, las cuales se encuentran así a causa de que en ese momento los equipos aún no eran adquiridos por la entidad, o en todo caso, debido al deterioro de las pegatinas de los códigos patrimoniales. Además de otras celdas en blanco, las cuales se encuentran de esa manera por ser información no recolectada o información pendiente. Continuando con lo anterior, los casos singulares que tenemos, son las aplicaciones de diseño gráfico y arquitectónicos, los cuales se hallan así debido a que no todos los equipos tendrán estas aplicaciones. Así mismo en la variable bitácora, la información será actualizada con las modificaciones que se les realicen a los equipos de cómputo.</w:t>
            </w:r>
          </w:p>
          <w:p w:rsidR="00AD60C3" w:rsidRPr="001B749A" w:rsidRDefault="00AD60C3" w:rsidP="00AD60C3">
            <w:pPr>
              <w:rPr>
                <w:rFonts w:ascii="Arial" w:hAnsi="Arial" w:cs="Arial"/>
              </w:rPr>
            </w:pPr>
            <w:r w:rsidRPr="001B749A">
              <w:rPr>
                <w:rFonts w:ascii="Arial" w:hAnsi="Arial" w:cs="Arial"/>
              </w:rPr>
              <w:t>El presente DATASET está caracterizado por tener como variables:</w:t>
            </w:r>
          </w:p>
          <w:p w:rsidR="00AD60C3" w:rsidRPr="001B749A" w:rsidRDefault="00AD60C3" w:rsidP="00AD60C3">
            <w:pPr>
              <w:rPr>
                <w:rFonts w:ascii="Arial" w:hAnsi="Arial" w:cs="Arial"/>
              </w:rPr>
            </w:pPr>
            <w:r w:rsidRPr="001B749A">
              <w:rPr>
                <w:rFonts w:ascii="Arial" w:hAnsi="Arial" w:cs="Arial"/>
              </w:rPr>
              <w:t>Áreas (Gerencias y Subgerencias de la Municipalidad Distrital de Lurín), locales en los que se encuentran las diferentes áreas de la Municipalidad Distrital de Lurín, códigos patrimoniales, aplicativos para los equipos de cómputo, partes de un equipo de cómputo (memorias ram, discos duros, tarjetas de video, procesadores y placas madres), monitores y teclados, todo lo necesario para que el personal de las diferentes áreas de la Municipalidad Distrital de Lurín realicen sus actividades satisfactoriamente.</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Entidad</w:t>
            </w:r>
          </w:p>
        </w:tc>
        <w:tc>
          <w:tcPr>
            <w:tcW w:w="6662" w:type="dxa"/>
          </w:tcPr>
          <w:p w:rsidR="00AD60C3" w:rsidRPr="001B749A" w:rsidRDefault="00AD60C3" w:rsidP="00AD60C3">
            <w:pPr>
              <w:rPr>
                <w:rFonts w:ascii="Arial" w:hAnsi="Arial" w:cs="Arial"/>
              </w:rPr>
            </w:pPr>
            <w:r w:rsidRPr="001B749A">
              <w:rPr>
                <w:rFonts w:ascii="Arial" w:hAnsi="Arial" w:cs="Arial"/>
              </w:rPr>
              <w:t>Municipalidad Distrital de Lurín</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Fuente</w:t>
            </w:r>
          </w:p>
        </w:tc>
        <w:tc>
          <w:tcPr>
            <w:tcW w:w="6662" w:type="dxa"/>
          </w:tcPr>
          <w:p w:rsidR="00AD60C3" w:rsidRPr="001B749A" w:rsidRDefault="00AD60C3" w:rsidP="00AD60C3">
            <w:pPr>
              <w:rPr>
                <w:rFonts w:ascii="Arial" w:hAnsi="Arial" w:cs="Arial"/>
              </w:rPr>
            </w:pPr>
            <w:r w:rsidRPr="001B749A">
              <w:rPr>
                <w:rFonts w:ascii="Arial" w:hAnsi="Arial" w:cs="Arial"/>
              </w:rPr>
              <w:t>Sub Gerencia de Tecnologías de la Información</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Etiquetas</w:t>
            </w:r>
          </w:p>
        </w:tc>
        <w:tc>
          <w:tcPr>
            <w:tcW w:w="6662" w:type="dxa"/>
          </w:tcPr>
          <w:p w:rsidR="00AD60C3" w:rsidRPr="001B749A" w:rsidRDefault="00AD60C3" w:rsidP="00AD60C3">
            <w:pPr>
              <w:rPr>
                <w:rFonts w:ascii="Arial" w:hAnsi="Arial" w:cs="Arial"/>
              </w:rPr>
            </w:pPr>
            <w:r w:rsidRPr="001B749A">
              <w:rPr>
                <w:rFonts w:ascii="Arial" w:hAnsi="Arial" w:cs="Arial"/>
              </w:rPr>
              <w:t>Informática, Equipos de cómputo, Inventario</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Fecha de creación</w:t>
            </w:r>
          </w:p>
        </w:tc>
        <w:tc>
          <w:tcPr>
            <w:tcW w:w="6662" w:type="dxa"/>
          </w:tcPr>
          <w:p w:rsidR="00AD60C3" w:rsidRPr="001B749A" w:rsidRDefault="00AD60C3" w:rsidP="00AD60C3">
            <w:pPr>
              <w:rPr>
                <w:rFonts w:ascii="Arial" w:hAnsi="Arial" w:cs="Arial"/>
                <w:highlight w:val="yellow"/>
              </w:rPr>
            </w:pPr>
            <w:r w:rsidRPr="00B052F9">
              <w:rPr>
                <w:rFonts w:ascii="Arial" w:hAnsi="Arial" w:cs="Arial"/>
              </w:rPr>
              <w:t>2023-05-25</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Frecuencia de actualización</w:t>
            </w:r>
          </w:p>
        </w:tc>
        <w:tc>
          <w:tcPr>
            <w:tcW w:w="6662" w:type="dxa"/>
          </w:tcPr>
          <w:p w:rsidR="00AD60C3" w:rsidRPr="001B749A" w:rsidRDefault="00AD60C3" w:rsidP="00AD60C3">
            <w:pPr>
              <w:rPr>
                <w:rFonts w:ascii="Arial" w:hAnsi="Arial" w:cs="Arial"/>
              </w:rPr>
            </w:pPr>
            <w:r w:rsidRPr="001B749A">
              <w:rPr>
                <w:rFonts w:ascii="Arial" w:hAnsi="Arial" w:cs="Arial"/>
              </w:rPr>
              <w:t>Trimestralmente</w:t>
            </w:r>
          </w:p>
        </w:tc>
      </w:tr>
      <w:tr w:rsidR="00AD60C3" w:rsidRPr="001B749A" w:rsidTr="00B052F9">
        <w:tc>
          <w:tcPr>
            <w:tcW w:w="2972" w:type="dxa"/>
          </w:tcPr>
          <w:p w:rsidR="00AD60C3" w:rsidRPr="001B749A" w:rsidRDefault="00AD60C3" w:rsidP="00AD60C3">
            <w:pPr>
              <w:rPr>
                <w:rFonts w:ascii="Arial" w:hAnsi="Arial" w:cs="Arial"/>
              </w:rPr>
            </w:pPr>
            <w:r w:rsidRPr="001B749A">
              <w:rPr>
                <w:rFonts w:ascii="Arial" w:hAnsi="Arial" w:cs="Arial"/>
              </w:rPr>
              <w:t>Última actualización</w:t>
            </w:r>
          </w:p>
        </w:tc>
        <w:tc>
          <w:tcPr>
            <w:tcW w:w="6662" w:type="dxa"/>
            <w:shd w:val="clear" w:color="auto" w:fill="auto"/>
          </w:tcPr>
          <w:p w:rsidR="00AD60C3" w:rsidRPr="00B052F9" w:rsidRDefault="00AD60C3" w:rsidP="00AD60C3">
            <w:pPr>
              <w:rPr>
                <w:rFonts w:ascii="Arial" w:hAnsi="Arial" w:cs="Arial"/>
              </w:rPr>
            </w:pPr>
            <w:r w:rsidRPr="00B052F9">
              <w:rPr>
                <w:rFonts w:ascii="Arial" w:hAnsi="Arial" w:cs="Arial"/>
              </w:rPr>
              <w:t>2023-05-25</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Versión</w:t>
            </w:r>
          </w:p>
        </w:tc>
        <w:tc>
          <w:tcPr>
            <w:tcW w:w="6662" w:type="dxa"/>
          </w:tcPr>
          <w:p w:rsidR="00AD60C3" w:rsidRPr="001B749A" w:rsidRDefault="001B749A" w:rsidP="00AD60C3">
            <w:pPr>
              <w:rPr>
                <w:rFonts w:ascii="Arial" w:hAnsi="Arial" w:cs="Arial"/>
              </w:rPr>
            </w:pPr>
            <w:r w:rsidRPr="001B749A">
              <w:rPr>
                <w:rFonts w:ascii="Arial" w:hAnsi="Arial" w:cs="Arial"/>
              </w:rPr>
              <w:t>1.0</w:t>
            </w:r>
          </w:p>
        </w:tc>
      </w:tr>
      <w:tr w:rsidR="00AD60C3" w:rsidRPr="00E72A52" w:rsidTr="00AD60C3">
        <w:tc>
          <w:tcPr>
            <w:tcW w:w="2972" w:type="dxa"/>
          </w:tcPr>
          <w:p w:rsidR="00AD60C3" w:rsidRPr="001B749A" w:rsidRDefault="00AD60C3" w:rsidP="00AD60C3">
            <w:pPr>
              <w:rPr>
                <w:rFonts w:ascii="Arial" w:hAnsi="Arial" w:cs="Arial"/>
              </w:rPr>
            </w:pPr>
            <w:r w:rsidRPr="001B749A">
              <w:rPr>
                <w:rFonts w:ascii="Arial" w:hAnsi="Arial" w:cs="Arial"/>
              </w:rPr>
              <w:t>Licencia</w:t>
            </w:r>
          </w:p>
        </w:tc>
        <w:tc>
          <w:tcPr>
            <w:tcW w:w="6662" w:type="dxa"/>
          </w:tcPr>
          <w:p w:rsidR="00AD60C3" w:rsidRPr="00B052F9" w:rsidRDefault="00A25E72" w:rsidP="00AD60C3">
            <w:pPr>
              <w:rPr>
                <w:rFonts w:ascii="Arial" w:hAnsi="Arial" w:cs="Arial"/>
                <w:lang w:val="en-US"/>
              </w:rPr>
            </w:pPr>
            <w:hyperlink r:id="rId6" w:history="1">
              <w:r w:rsidR="001B749A" w:rsidRPr="001B749A">
                <w:rPr>
                  <w:rStyle w:val="Hipervnculo"/>
                  <w:rFonts w:ascii="Arial" w:hAnsi="Arial" w:cs="Arial"/>
                  <w:color w:val="0A77BD"/>
                  <w:kern w:val="24"/>
                  <w:lang w:val="en-US"/>
                </w:rPr>
                <w:t>Open Data Commons Attribution License</w:t>
              </w:r>
            </w:hyperlink>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Idioma</w:t>
            </w:r>
          </w:p>
        </w:tc>
        <w:tc>
          <w:tcPr>
            <w:tcW w:w="6662" w:type="dxa"/>
          </w:tcPr>
          <w:p w:rsidR="00AD60C3" w:rsidRPr="001B749A" w:rsidRDefault="001B749A" w:rsidP="00AD60C3">
            <w:pPr>
              <w:rPr>
                <w:rFonts w:ascii="Arial" w:hAnsi="Arial" w:cs="Arial"/>
              </w:rPr>
            </w:pPr>
            <w:r w:rsidRPr="001B749A">
              <w:rPr>
                <w:rFonts w:ascii="Arial" w:hAnsi="Arial" w:cs="Arial"/>
              </w:rPr>
              <w:t>Español</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Nivel de acceso público</w:t>
            </w:r>
          </w:p>
        </w:tc>
        <w:tc>
          <w:tcPr>
            <w:tcW w:w="6662" w:type="dxa"/>
          </w:tcPr>
          <w:p w:rsidR="00AD60C3" w:rsidRPr="001B749A" w:rsidRDefault="001B749A" w:rsidP="00AD60C3">
            <w:pPr>
              <w:rPr>
                <w:rFonts w:ascii="Arial" w:hAnsi="Arial" w:cs="Arial"/>
              </w:rPr>
            </w:pPr>
            <w:r w:rsidRPr="001B749A">
              <w:rPr>
                <w:rFonts w:ascii="Arial" w:hAnsi="Arial" w:cs="Arial"/>
              </w:rPr>
              <w:t>Público</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Tipo de recurso</w:t>
            </w:r>
          </w:p>
        </w:tc>
        <w:tc>
          <w:tcPr>
            <w:tcW w:w="6662" w:type="dxa"/>
          </w:tcPr>
          <w:p w:rsidR="00AD60C3" w:rsidRPr="001B749A" w:rsidRDefault="001B749A" w:rsidP="00AD60C3">
            <w:pPr>
              <w:rPr>
                <w:rFonts w:ascii="Arial" w:hAnsi="Arial" w:cs="Arial"/>
              </w:rPr>
            </w:pPr>
            <w:r w:rsidRPr="001B749A">
              <w:rPr>
                <w:rFonts w:ascii="Arial" w:hAnsi="Arial" w:cs="Arial"/>
              </w:rPr>
              <w:t>DATASET</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Formato</w:t>
            </w:r>
          </w:p>
        </w:tc>
        <w:tc>
          <w:tcPr>
            <w:tcW w:w="6662" w:type="dxa"/>
          </w:tcPr>
          <w:p w:rsidR="00AD60C3" w:rsidRPr="001B749A" w:rsidRDefault="001B749A" w:rsidP="00AD60C3">
            <w:pPr>
              <w:rPr>
                <w:rFonts w:ascii="Arial" w:hAnsi="Arial" w:cs="Arial"/>
              </w:rPr>
            </w:pPr>
            <w:r w:rsidRPr="001B749A">
              <w:rPr>
                <w:rFonts w:ascii="Arial" w:hAnsi="Arial" w:cs="Arial"/>
              </w:rPr>
              <w:t>CSV</w:t>
            </w:r>
          </w:p>
        </w:tc>
      </w:tr>
      <w:tr w:rsidR="00AD60C3" w:rsidRPr="001B749A" w:rsidTr="00AD60C3">
        <w:tc>
          <w:tcPr>
            <w:tcW w:w="2972" w:type="dxa"/>
          </w:tcPr>
          <w:p w:rsidR="00AD60C3" w:rsidRPr="001B749A" w:rsidRDefault="00AD60C3" w:rsidP="00AD60C3">
            <w:pPr>
              <w:rPr>
                <w:rFonts w:ascii="Arial" w:hAnsi="Arial" w:cs="Arial"/>
              </w:rPr>
            </w:pPr>
            <w:r w:rsidRPr="001B749A">
              <w:rPr>
                <w:rFonts w:ascii="Arial" w:hAnsi="Arial" w:cs="Arial"/>
              </w:rPr>
              <w:t>Cobertura</w:t>
            </w:r>
          </w:p>
        </w:tc>
        <w:tc>
          <w:tcPr>
            <w:tcW w:w="6662" w:type="dxa"/>
          </w:tcPr>
          <w:p w:rsidR="00AD60C3" w:rsidRPr="001B749A" w:rsidRDefault="001B749A" w:rsidP="00AD60C3">
            <w:pPr>
              <w:rPr>
                <w:rFonts w:ascii="Arial" w:hAnsi="Arial" w:cs="Arial"/>
              </w:rPr>
            </w:pPr>
            <w:r w:rsidRPr="001B749A">
              <w:rPr>
                <w:rFonts w:ascii="Arial" w:hAnsi="Arial" w:cs="Arial"/>
              </w:rPr>
              <w:t>Perú, Lima, Lima, Lurín – 2023</w:t>
            </w:r>
          </w:p>
        </w:tc>
      </w:tr>
    </w:tbl>
    <w:p w:rsidR="00AD60C3" w:rsidRDefault="00AD60C3" w:rsidP="00AD60C3"/>
    <w:sectPr w:rsidR="00AD60C3" w:rsidSect="00AD60C3">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E72" w:rsidRDefault="00A25E72" w:rsidP="00AD60C3">
      <w:pPr>
        <w:spacing w:after="0" w:line="240" w:lineRule="auto"/>
      </w:pPr>
      <w:r>
        <w:separator/>
      </w:r>
    </w:p>
  </w:endnote>
  <w:endnote w:type="continuationSeparator" w:id="0">
    <w:p w:rsidR="00A25E72" w:rsidRDefault="00A25E72" w:rsidP="00AD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C3" w:rsidRDefault="00AD60C3">
    <w:pPr>
      <w:pStyle w:val="Piedepgina"/>
    </w:pPr>
    <w:r>
      <w:rPr>
        <w:noProof/>
        <w:lang w:val="en-US"/>
      </w:rPr>
      <w:drawing>
        <wp:anchor distT="0" distB="0" distL="114300" distR="114300" simplePos="0" relativeHeight="251659264" behindDoc="0" locked="0" layoutInCell="1" allowOverlap="1">
          <wp:simplePos x="0" y="0"/>
          <wp:positionH relativeFrom="page">
            <wp:align>left</wp:align>
          </wp:positionH>
          <wp:positionV relativeFrom="paragraph">
            <wp:posOffset>-384810</wp:posOffset>
          </wp:positionV>
          <wp:extent cx="7553325" cy="990600"/>
          <wp:effectExtent l="0" t="0" r="9525" b="0"/>
          <wp:wrapNone/>
          <wp:docPr id="34" name="Imagen 34"/>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1">
                    <a:extLst>
                      <a:ext uri="{28A0092B-C50C-407E-A947-70E740481C1C}">
                        <a14:useLocalDpi xmlns:a14="http://schemas.microsoft.com/office/drawing/2010/main" val="0"/>
                      </a:ext>
                    </a:extLst>
                  </a:blip>
                  <a:stretch>
                    <a:fillRect/>
                  </a:stretch>
                </pic:blipFill>
                <pic:spPr>
                  <a:xfrm>
                    <a:off x="0" y="0"/>
                    <a:ext cx="7553325" cy="990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E72" w:rsidRDefault="00A25E72" w:rsidP="00AD60C3">
      <w:pPr>
        <w:spacing w:after="0" w:line="240" w:lineRule="auto"/>
      </w:pPr>
      <w:r>
        <w:separator/>
      </w:r>
    </w:p>
  </w:footnote>
  <w:footnote w:type="continuationSeparator" w:id="0">
    <w:p w:rsidR="00A25E72" w:rsidRDefault="00A25E72" w:rsidP="00AD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C3" w:rsidRDefault="00AD60C3">
    <w:pPr>
      <w:pStyle w:val="Encabezado"/>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-411480</wp:posOffset>
          </wp:positionV>
          <wp:extent cx="5400040" cy="847725"/>
          <wp:effectExtent l="0" t="0" r="0" b="9525"/>
          <wp:wrapNone/>
          <wp:docPr id="33" name="Imagen 33"/>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1">
                    <a:extLst>
                      <a:ext uri="{28A0092B-C50C-407E-A947-70E740481C1C}">
                        <a14:useLocalDpi xmlns:a14="http://schemas.microsoft.com/office/drawing/2010/main" val="0"/>
                      </a:ext>
                    </a:extLst>
                  </a:blip>
                  <a:stretch>
                    <a:fillRect/>
                  </a:stretch>
                </pic:blipFill>
                <pic:spPr>
                  <a:xfrm>
                    <a:off x="0" y="0"/>
                    <a:ext cx="5400040" cy="8477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C3"/>
    <w:rsid w:val="00061899"/>
    <w:rsid w:val="001B749A"/>
    <w:rsid w:val="00313EBA"/>
    <w:rsid w:val="003C68BE"/>
    <w:rsid w:val="0079165B"/>
    <w:rsid w:val="009A0087"/>
    <w:rsid w:val="00A25E72"/>
    <w:rsid w:val="00AD60C3"/>
    <w:rsid w:val="00B052F9"/>
    <w:rsid w:val="00E72A52"/>
    <w:rsid w:val="00F66E68"/>
    <w:rsid w:val="00FE79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21C7"/>
  <w15:chartTrackingRefBased/>
  <w15:docId w15:val="{2C40DBCA-259A-432B-B79F-D3623158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60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0C3"/>
  </w:style>
  <w:style w:type="paragraph" w:styleId="Piedepgina">
    <w:name w:val="footer"/>
    <w:basedOn w:val="Normal"/>
    <w:link w:val="PiedepginaCar"/>
    <w:uiPriority w:val="99"/>
    <w:unhideWhenUsed/>
    <w:rsid w:val="00AD60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0C3"/>
  </w:style>
  <w:style w:type="table" w:styleId="Tablaconcuadrcula">
    <w:name w:val="Table Grid"/>
    <w:basedOn w:val="Tablanormal"/>
    <w:uiPriority w:val="39"/>
    <w:rsid w:val="00AD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1B7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8381">
      <w:bodyDiv w:val="1"/>
      <w:marLeft w:val="0"/>
      <w:marRight w:val="0"/>
      <w:marTop w:val="0"/>
      <w:marBottom w:val="0"/>
      <w:divBdr>
        <w:top w:val="none" w:sz="0" w:space="0" w:color="auto"/>
        <w:left w:val="none" w:sz="0" w:space="0" w:color="auto"/>
        <w:bottom w:val="none" w:sz="0" w:space="0" w:color="auto"/>
        <w:right w:val="none" w:sz="0" w:space="0" w:color="auto"/>
      </w:divBdr>
      <w:divsChild>
        <w:div w:id="12806447">
          <w:marLeft w:val="0"/>
          <w:marRight w:val="0"/>
          <w:marTop w:val="0"/>
          <w:marBottom w:val="0"/>
          <w:divBdr>
            <w:top w:val="none" w:sz="0" w:space="0" w:color="auto"/>
            <w:left w:val="none" w:sz="0" w:space="0" w:color="auto"/>
            <w:bottom w:val="none" w:sz="0" w:space="0" w:color="auto"/>
            <w:right w:val="none" w:sz="0" w:space="0" w:color="auto"/>
          </w:divBdr>
          <w:divsChild>
            <w:div w:id="60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definition.org/licenses/odc-b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386</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ti09</dc:creator>
  <cp:keywords/>
  <dc:description/>
  <cp:lastModifiedBy>DARNSOLDIER</cp:lastModifiedBy>
  <cp:revision>5</cp:revision>
  <dcterms:created xsi:type="dcterms:W3CDTF">2023-05-31T16:39:00Z</dcterms:created>
  <dcterms:modified xsi:type="dcterms:W3CDTF">2023-06-06T20:52:00Z</dcterms:modified>
</cp:coreProperties>
</file>