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25.png" ContentType="image/png"/>
  <Override PartName="/word/media/rId32.png" ContentType="image/png"/>
  <Override PartName="/word/media/rId29.png" ContentType="image/png"/>
  <Override PartName="/word/media/rId2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Generative design and structure-based evaluation of 7-deoxyflavonol dual-target candidates against TTBK1 and MAO-B, with explicit anti-target counter-screening</w:t>
      </w:r>
    </w:p>
    <w:p>
      <w:pPr>
        <w:pStyle w:val="Subtitle"/>
      </w:pPr>
      <w:r>
        <w:t xml:space="preserve">A hypothesis-generating computational study</w:t>
      </w:r>
    </w:p>
    <w:p>
      <w:pPr>
        <w:pStyle w:val="Date"/>
      </w:pPr>
      <w:r>
        <w:t xml:space="preserve">2026-08-19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Tau-tubulin kinase 1 (TTBK1) and monoamine oxidase B (MAO-B) are both</w:t>
      </w:r>
      <w:r>
        <w:t xml:space="preserve"> </w:t>
      </w:r>
      <w:r>
        <w:t xml:space="preserve">CNS drug-discovery targets in neurodegeneration, but they belong to distinct disease</w:t>
      </w:r>
      <w:r>
        <w:t xml:space="preserve"> </w:t>
      </w:r>
      <w:r>
        <w:t xml:space="preserve">mechanisms and have never been proposed as a combined dual-target pair in the published</w:t>
      </w:r>
      <w:r>
        <w:t xml:space="preserve"> </w:t>
      </w:r>
      <w:r>
        <w:t xml:space="preserve">literature. Flavonoids are documented MAO-B inhibitors and promiscuous kinase binders,</w:t>
      </w:r>
      <w:r>
        <w:t xml:space="preserve"> </w:t>
      </w:r>
      <w:r>
        <w:t xml:space="preserve">making them a plausible starting scaffold for a multi-target-directed ligand (MTDL)</w:t>
      </w:r>
      <w:r>
        <w:t xml:space="preserve"> </w:t>
      </w:r>
      <w:r>
        <w:t xml:space="preserve">hypothesis.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assembled a flavonoid library from</w:t>
      </w:r>
      <w:r>
        <w:t xml:space="preserve"> </w:t>
      </w:r>
      <w:r>
        <w:rPr>
          <w:i/>
          <w:iCs/>
        </w:rPr>
        <w:t xml:space="preserve">Evolvulus alsinoides</w:t>
      </w:r>
      <w:r>
        <w:t xml:space="preserve">, a medicinal</w:t>
      </w:r>
      <w:r>
        <w:t xml:space="preserve"> </w:t>
      </w:r>
      <w:r>
        <w:t xml:space="preserve">species selected by a pre-registered two-axis rule that multiplies structurally-verified</w:t>
      </w:r>
      <w:r>
        <w:t xml:space="preserve"> </w:t>
      </w:r>
      <w:r>
        <w:t xml:space="preserve">flavonoid coverage by literature-gap score. Reinforcement-learning molecular generation</w:t>
      </w:r>
      <w:r>
        <w:t xml:space="preserve"> </w:t>
      </w:r>
      <w:r>
        <w:t xml:space="preserve">(REINVENT4 LibInvent) decorated a 7-deoxyflavonol core under a four-component reward</w:t>
      </w:r>
      <w:r>
        <w:t xml:space="preserve"> </w:t>
      </w:r>
      <w:r>
        <w:t xml:space="preserve">(TTBK1 docking, MAO-B docking, synthetic accessibility, BOILED-Egg blood-brain-barrier</w:t>
      </w:r>
      <w:r>
        <w:t xml:space="preserve"> </w:t>
      </w:r>
      <w:r>
        <w:t xml:space="preserve">signed distance). Candidates were filtered on Lipinski, BBB and PAINS/BRENK criteria,</w:t>
      </w:r>
      <w:r>
        <w:t xml:space="preserve"> </w:t>
      </w:r>
      <w:r>
        <w:t xml:space="preserve">re-docked at high exhaustiveness with multi-seed consensus, cross-validated with an</w:t>
      </w:r>
      <w:r>
        <w:t xml:space="preserve"> </w:t>
      </w:r>
      <w:r>
        <w:t xml:space="preserve">independent scoring function (Vinardo), counter-screened against the paralog/isoform</w:t>
      </w:r>
      <w:r>
        <w:t xml:space="preserve"> </w:t>
      </w:r>
      <w:r>
        <w:t xml:space="preserve">anti-targets TTBK2 and MAO-A, and the single most scoring-function-robust candidate was</w:t>
      </w:r>
      <w:r>
        <w:t xml:space="preserve"> </w:t>
      </w:r>
      <w:r>
        <w:t xml:space="preserve">advanced to 20 ns explicit-solvent molecular dynamics and MM-GBSA binding free energy</w:t>
      </w:r>
      <w:r>
        <w:t xml:space="preserve"> </w:t>
      </w:r>
      <w:r>
        <w:t xml:space="preserve">calculation on both on-targets.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original flavonol scaffold hit an absolute BBB ceiling: minimum</w:t>
      </w:r>
      <w:r>
        <w:t xml:space="preserve"> </w:t>
      </w:r>
      <w:r>
        <w:t xml:space="preserve">topological polar surface area across 666 unique generated candidates was 90.9 A^2,</w:t>
      </w:r>
      <w:r>
        <w:t xml:space="preserve"> </w:t>
      </w:r>
      <w:r>
        <w:t xml:space="preserve">outside the BOILED-Egg BBB region at any R-group decoration, yielding a null shortlist</w:t>
      </w:r>
      <w:r>
        <w:t xml:space="preserve"> </w:t>
      </w:r>
      <w:r>
        <w:t xml:space="preserve">(0/666). Redesign to a 7-deoxyflavonol core with a BBB-aware reward recovered 56</w:t>
      </w:r>
      <w:r>
        <w:t xml:space="preserve"> </w:t>
      </w:r>
      <w:r>
        <w:t xml:space="preserve">candidates passing all filters. Cross-scoring-function agreement over the top-15 was weak</w:t>
      </w:r>
      <w:r>
        <w:t xml:space="preserve"> </w:t>
      </w:r>
      <w:r>
        <w:t xml:space="preserve">(TTBK1 r = 0.56; MAO-B r = -0.28), so ranking was restricted to the one candidate robust</w:t>
      </w:r>
      <w:r>
        <w:t xml:space="preserve"> </w:t>
      </w:r>
      <w:r>
        <w:t xml:space="preserve">under both functions: a 4-trifluoromethyl/methyl-decorated 7-deoxyflavonol. Over 20 ns of</w:t>
      </w:r>
      <w:r>
        <w:t xml:space="preserve"> </w:t>
      </w:r>
      <w:r>
        <w:t xml:space="preserve">MD this candidate remained stably bound to both targets (last-quartile ligand RMSD</w:t>
      </w:r>
      <w:r>
        <w:t xml:space="preserve"> </w:t>
      </w:r>
      <w:r>
        <w:t xml:space="preserve">1.52 A at TTBK1, 0.68 A at MAO-B). MM-GBSA gave favorable binding free energies at</w:t>
      </w:r>
      <w:r>
        <w:t xml:space="preserve"> </w:t>
      </w:r>
      <w:r>
        <w:t xml:space="preserve">both targets, with MAO-B preferred: -36.8 +/- 0.2 kcal/mol</w:t>
      </w:r>
      <w:r>
        <w:t xml:space="preserve"> </w:t>
      </w:r>
      <w:r>
        <w:t xml:space="preserve">versus -26.3 +/- 0.5 kcal/mol for TTBK1 (mean +/- SEM,</w:t>
      </w:r>
      <w:r>
        <w:t xml:space="preserve"> </w:t>
      </w:r>
      <w:r>
        <w:t xml:space="preserve">n = 100 frames), driven mainly by van der Waals contact (-44.9 vs. -32.9</w:t>
      </w:r>
      <w:r>
        <w:t xml:space="preserve"> </w:t>
      </w:r>
      <w:r>
        <w:t xml:space="preserve">kcal/mol). Anti-target docking, however, showed essentially no isoform discrimination:</w:t>
      </w:r>
      <w:r>
        <w:t xml:space="preserve"> </w:t>
      </w:r>
      <w:r>
        <w:t xml:space="preserve">0/15 shortlisted candidates favored TTBK1 over TTBK2, and the lead candidate’s MAO-B-over-</w:t>
      </w:r>
      <w:r>
        <w:t xml:space="preserve"> </w:t>
      </w:r>
      <w:r>
        <w:t xml:space="preserve">MAO-A margin was +0.09 kcal/mol.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Two independent computational methods concur that this 7-deoxyflavonol</w:t>
      </w:r>
      <w:r>
        <w:t xml:space="preserve"> </w:t>
      </w:r>
      <w:r>
        <w:t xml:space="preserve">engages both TTBK1 and MAO-B, but the same pipeline shows the series does not discriminate</w:t>
      </w:r>
      <w:r>
        <w:t xml:space="preserve"> </w:t>
      </w:r>
      <w:r>
        <w:t xml:space="preserve">either target from its closest paralog/isoform. We therefore report a validated dual</w:t>
      </w:r>
      <w:r>
        <w:t xml:space="preserve"> </w:t>
      </w:r>
      <w:r>
        <w:t xml:space="preserve">on-target engager with an unresolved selectivity liability, not a selective dual-target</w:t>
      </w:r>
      <w:r>
        <w:t xml:space="preserve"> </w:t>
      </w:r>
      <w:r>
        <w:t xml:space="preserve">lead. This is a hypothesis-generating computational study; no experimental validation was</w:t>
      </w:r>
      <w:r>
        <w:t xml:space="preserve"> </w:t>
      </w:r>
      <w:r>
        <w:t xml:space="preserve">performed and none of the reported affinities are measured values.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TTBK1, MAO-B, flavonol, multi-target-directed ligand, generative</w:t>
      </w:r>
      <w:r>
        <w:t xml:space="preserve"> </w:t>
      </w:r>
      <w:r>
        <w:t xml:space="preserve">reinforcement learning, MM-GBSA, anti-target counter-screening, blood-brain barrier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Tau-tubulin kinase 1 (TTBK1, UniProt Q5TCY1) phosphorylates tau at disease-relevant</w:t>
      </w:r>
      <w:r>
        <w:t xml:space="preserve"> </w:t>
      </w:r>
      <w:r>
        <w:t xml:space="preserve">epitopes including Ser422 and is genetically and biochemically implicated in Alzheimer’s</w:t>
      </w:r>
      <w:r>
        <w:t xml:space="preserve"> </w:t>
      </w:r>
      <w:r>
        <w:t xml:space="preserve">disease and other tauopathies, with a smaller literature linking TTBK1 and its paralog</w:t>
      </w:r>
      <w:r>
        <w:t xml:space="preserve"> </w:t>
      </w:r>
      <w:r>
        <w:t xml:space="preserve">TTBK2 to TDP-43 proteinopathy relevant to ALS/FTLD-TDP. TTBK1 chemical-probe development</w:t>
      </w:r>
      <w:r>
        <w:t xml:space="preserve"> </w:t>
      </w:r>
      <w:r>
        <w:t xml:space="preserve">remains early-stage: the only well-characterized inhibitor series with public measured</w:t>
      </w:r>
      <w:r>
        <w:t xml:space="preserve"> </w:t>
      </w:r>
      <w:r>
        <w:t xml:space="preserve">potencies identified in this work is the Biogen brain-penetrant azaindazole/pyrrolopyridine</w:t>
      </w:r>
      <w:r>
        <w:t xml:space="preserve"> </w:t>
      </w:r>
      <w:r>
        <w:t xml:space="preserve">series (Halkina et al.,</w:t>
      </w:r>
      <w:r>
        <w:t xml:space="preserve"> </w:t>
      </w:r>
      <w:r>
        <w:rPr>
          <w:i/>
          <w:iCs/>
        </w:rPr>
        <w:t xml:space="preserve">J Med Chem</w:t>
      </w:r>
      <w:r>
        <w:t xml:space="preserve"> </w:t>
      </w:r>
      <w:r>
        <w:t xml:space="preserve">2021, 64:6358; PMID 33944571), whose lead reduces tau</w:t>
      </w:r>
      <w:r>
        <w:t xml:space="preserve"> </w:t>
      </w:r>
      <w:r>
        <w:t xml:space="preserve">pSer422 in vivo.</w:t>
      </w:r>
    </w:p>
    <w:p>
      <w:pPr>
        <w:pStyle w:val="BodyText"/>
      </w:pPr>
      <w:r>
        <w:t xml:space="preserve">Monoamine oxidase B (MAO-B, UniProt P27338) is by contrast a clinically validated</w:t>
      </w:r>
      <w:r>
        <w:t xml:space="preserve"> </w:t>
      </w:r>
      <w:r>
        <w:t xml:space="preserve">Parkinson’s disease target. It oxidatively deaminates dopamine and other monoamines,</w:t>
      </w:r>
      <w:r>
        <w:t xml:space="preserve"> </w:t>
      </w:r>
      <w:r>
        <w:t xml:space="preserve">producing H2O2 and contributing to oxidative stress and dopaminergic neurodegeneration, and</w:t>
      </w:r>
      <w:r>
        <w:t xml:space="preserve"> </w:t>
      </w:r>
      <w:r>
        <w:t xml:space="preserve">is upregulated in reactive astrocytes in neurodegenerative tissue. Three approved inhibitors</w:t>
      </w:r>
      <w:r>
        <w:t xml:space="preserve"> </w:t>
      </w:r>
      <w:r>
        <w:t xml:space="preserve">(safinamide, IC50 = 7.67 nM; selegiline, 7.0 nM; rasagiline, 4.4 nM) provide well-measured</w:t>
      </w:r>
      <w:r>
        <w:t xml:space="preserve"> </w:t>
      </w:r>
      <w:r>
        <w:t xml:space="preserve">reference pharmacology.</w:t>
      </w:r>
    </w:p>
    <w:p>
      <w:pPr>
        <w:pStyle w:val="BodyText"/>
      </w:pPr>
      <w:r>
        <w:rPr>
          <w:b/>
          <w:bCs/>
        </w:rPr>
        <w:t xml:space="preserve">The dual-target hypothesis examined here is novel and unvalidated.</w:t>
      </w:r>
      <w:r>
        <w:t xml:space="preserve"> </w:t>
      </w:r>
      <w:r>
        <w:t xml:space="preserve">Systematic PubMed</w:t>
      </w:r>
      <w:r>
        <w:t xml:space="preserve"> </w:t>
      </w:r>
      <w:r>
        <w:t xml:space="preserve">querying returned zero records combining flavonoids with TTBK1, and zero records proposing</w:t>
      </w:r>
      <w:r>
        <w:t xml:space="preserve"> </w:t>
      </w:r>
      <w:r>
        <w:t xml:space="preserve">a TTBK1 + MAO-B combination in any context. Flavonoids as MAO-B inhibitors, by contrast, is</w:t>
      </w:r>
      <w:r>
        <w:t xml:space="preserve"> </w:t>
      </w:r>
      <w:r>
        <w:t xml:space="preserve">an established sub-field. TTBK1 and MAO-B are not co-implicated in any single validated</w:t>
      </w:r>
      <w:r>
        <w:t xml:space="preserve"> </w:t>
      </w:r>
      <w:r>
        <w:t xml:space="preserve">disease mechanism in the retrieved literature — TTBK1 sits in tau/Alzheimer’s-spectrum</w:t>
      </w:r>
      <w:r>
        <w:t xml:space="preserve"> </w:t>
      </w:r>
      <w:r>
        <w:t xml:space="preserve">biology, MAO-B in dopaminergic/Parkinson’s-spectrum biology. The dual-target framing of this</w:t>
      </w:r>
      <w:r>
        <w:t xml:space="preserve"> </w:t>
      </w:r>
      <w:r>
        <w:t xml:space="preserve">study therefore rests on three weaker premises, stated plainly: both are licensed CNS</w:t>
      </w:r>
      <w:r>
        <w:t xml:space="preserve"> </w:t>
      </w:r>
      <w:r>
        <w:t xml:space="preserve">neurodegeneration targets; flavonoids are documented to be promiscuous across kinase and MAO</w:t>
      </w:r>
      <w:r>
        <w:t xml:space="preserve"> </w:t>
      </w:r>
      <w:r>
        <w:t xml:space="preserve">pharmacology; and multi-target-directed ligand design combining kinase inhibition with MAO-B</w:t>
      </w:r>
      <w:r>
        <w:t xml:space="preserve"> </w:t>
      </w:r>
      <w:r>
        <w:t xml:space="preserve">inhibition or antioxidant activity has general precedent in neurodegenerative drug design.</w:t>
      </w:r>
      <w:r>
        <w:t xml:space="preserve"> </w:t>
      </w:r>
      <w:r>
        <w:t xml:space="preserve">No claim of an established dual-target consensus is made or implied.</w:t>
      </w:r>
    </w:p>
    <w:p>
      <w:pPr>
        <w:pStyle w:val="BodyText"/>
      </w:pPr>
      <w:r>
        <w:t xml:space="preserve">Two design constraints shaped the study. First, both targets are CNS targets, so</w:t>
      </w:r>
      <w:r>
        <w:t xml:space="preserve"> </w:t>
      </w:r>
      <w:r>
        <w:t xml:space="preserve">blood-brain-barrier permeability was treated as a hard requirement rather than a</w:t>
      </w:r>
      <w:r>
        <w:t xml:space="preserve"> </w:t>
      </w:r>
      <w:r>
        <w:t xml:space="preserve">post-hoc annotation. Second, because both targets have a close paralog or isoform whose</w:t>
      </w:r>
      <w:r>
        <w:t xml:space="preserve"> </w:t>
      </w:r>
      <w:r>
        <w:t xml:space="preserve">active site is highly similar — TTBK2 for TTBK1, MAO-A for MAO-B — selectivity cannot be</w:t>
      </w:r>
      <w:r>
        <w:t xml:space="preserve"> </w:t>
      </w:r>
      <w:r>
        <w:t xml:space="preserve">assumed and was tested explicitly by anti-target counter-screening rather than asserted.</w:t>
      </w:r>
    </w:p>
    <w:bookmarkEnd w:id="10"/>
    <w:bookmarkStart w:id="19" w:name="methods"/>
    <w:p>
      <w:pPr>
        <w:pStyle w:val="Heading1"/>
      </w:pPr>
      <w:r>
        <w:t xml:space="preserve">2. Methods</w:t>
      </w:r>
    </w:p>
    <w:bookmarkStart w:id="11" w:name="X81737fcf80ebb63363e5cc0f8b0b926be2ab819"/>
    <w:p>
      <w:pPr>
        <w:pStyle w:val="Heading2"/>
      </w:pPr>
      <w:r>
        <w:t xml:space="preserve">2.1 Species selection and natural-product library</w:t>
      </w:r>
    </w:p>
    <w:p>
      <w:pPr>
        <w:pStyle w:val="FirstParagraph"/>
      </w:pPr>
      <w:r>
        <w:t xml:space="preserve">Six Indian medicinal species with traditional neurological indications were screened using</w:t>
      </w:r>
      <w:r>
        <w:t xml:space="preserve"> </w:t>
      </w:r>
      <w:r>
        <w:t xml:space="preserve">a pre-registered multiplicative ranking rule:</w:t>
      </w:r>
    </w:p>
    <w:p>
      <w:pPr>
        <w:pStyle w:val="SourceCode"/>
      </w:pPr>
      <w:r>
        <w:rPr>
          <w:rStyle w:val="VerbatimChar"/>
        </w:rPr>
        <w:t xml:space="preserve">flavonoid_coverage = n_high_confidence_flavonoids / max(n_high_confidence_flavonoids)</w:t>
      </w:r>
      <w:r>
        <w:br/>
      </w:r>
      <w:r>
        <w:rPr>
          <w:rStyle w:val="VerbatimChar"/>
        </w:rPr>
        <w:t xml:space="preserve">literature_gap     = 1 - (PubMed CADD-term hits / PubMed species-alone hits)</w:t>
      </w:r>
      <w:r>
        <w:br/>
      </w:r>
      <w:r>
        <w:rPr>
          <w:rStyle w:val="VerbatimChar"/>
        </w:rPr>
        <w:t xml:space="preserve">composite          = flavonoid_coverage x literature_gap</w:t>
      </w:r>
    </w:p>
    <w:p>
      <w:pPr>
        <w:pStyle w:val="FirstParagraph"/>
      </w:pPr>
      <w:r>
        <w:t xml:space="preserve">The multiplicative form is deliberate: a species with a large literature gap but no</w:t>
      </w:r>
      <w:r>
        <w:t xml:space="preserve"> </w:t>
      </w:r>
      <w:r>
        <w:t xml:space="preserve">structurally-verified flavonoids scores zero, since a gap without dockable chemistry is not</w:t>
      </w:r>
      <w:r>
        <w:t xml:space="preserve"> </w:t>
      </w:r>
      <w:r>
        <w:t xml:space="preserve">an opportunity.</w:t>
      </w:r>
      <w:r>
        <w:t xml:space="preserve"> </w:t>
      </w:r>
      <w:r>
        <w:rPr>
          <w:i/>
          <w:iCs/>
        </w:rPr>
        <w:t xml:space="preserve">Bacopa monnieri</w:t>
      </w:r>
      <w:r>
        <w:t xml:space="preserve"> </w:t>
      </w:r>
      <w:r>
        <w:t xml:space="preserve">was included as a positive control for a crowded</w:t>
      </w:r>
      <w:r>
        <w:t xml:space="preserve"> </w:t>
      </w:r>
      <w:r>
        <w:t xml:space="preserve">literature (566 species records, 49 CADD records).</w:t>
      </w:r>
      <w:r>
        <w:t xml:space="preserve"> </w:t>
      </w:r>
      <w:r>
        <w:rPr>
          <w:i/>
          <w:iCs/>
        </w:rPr>
        <w:t xml:space="preserve">Evolvulus alsinoides</w:t>
      </w:r>
      <w:r>
        <w:t xml:space="preserve"> </w:t>
      </w:r>
      <w:r>
        <w:t xml:space="preserve">ranked first</w:t>
      </w:r>
      <w:r>
        <w:t xml:space="preserve"> </w:t>
      </w:r>
      <w:r>
        <w:t xml:space="preserve">(composite 0.933), carrying six structurally-confirmed flavonoid/flavonol compounds</w:t>
      </w:r>
      <w:r>
        <w:t xml:space="preserve"> </w:t>
      </w:r>
      <w:r>
        <w:t xml:space="preserve">traceable to primary isolation papers (PMIDs 17473466, 19748554, 23357036), a modest total</w:t>
      </w:r>
      <w:r>
        <w:t xml:space="preserve"> </w:t>
      </w:r>
      <w:r>
        <w:t xml:space="preserve">footprint (60 records), only 4 CADD-related records, and zero records combining the species</w:t>
      </w:r>
      <w:r>
        <w:t xml:space="preserve"> </w:t>
      </w:r>
      <w:r>
        <w:t xml:space="preserve">with either TTBK1 or MAO-B. Its dominant scaffold class is flavone/flavonol</w:t>
      </w:r>
      <w:r>
        <w:t xml:space="preserve"> </w:t>
      </w:r>
      <w:r>
        <w:t xml:space="preserve">(3-hydroxyflavone core), which set the scaffold constraint for generative design.</w:t>
      </w:r>
      <w:r>
        <w:t xml:space="preserve"> </w:t>
      </w:r>
      <w:r>
        <w:t xml:space="preserve">The final library comprised 24 entries; all 24 SMILES parsed in RDKit, with per-compound</w:t>
      </w:r>
      <w:r>
        <w:t xml:space="preserve"> </w:t>
      </w:r>
      <w:r>
        <w:t xml:space="preserve">confidence tiers (11 HIGH, 6 MEDIUM, 4 LOW, 3 DERIVED) recorded from source provenance.</w:t>
      </w:r>
    </w:p>
    <w:bookmarkEnd w:id="11"/>
    <w:bookmarkStart w:id="12" w:name="X39cd0041225ac05887ad7ba81ec8e1b4b5d88c1"/>
    <w:p>
      <w:pPr>
        <w:pStyle w:val="Heading2"/>
      </w:pPr>
      <w:r>
        <w:t xml:space="preserve">2.2 Receptor preparation and redocking validation</w:t>
      </w:r>
    </w:p>
    <w:p>
      <w:pPr>
        <w:pStyle w:val="FirstParagraph"/>
      </w:pPr>
      <w:r>
        <w:t xml:space="preserve">On-targets: MAO-B PDB</w:t>
      </w:r>
      <w:r>
        <w:t xml:space="preserve"> </w:t>
      </w:r>
      <w:r>
        <w:rPr>
          <w:b/>
          <w:bCs/>
        </w:rPr>
        <w:t xml:space="preserve">2V5Z</w:t>
      </w:r>
      <w:r>
        <w:t xml:space="preserve"> </w:t>
      </w:r>
      <w:r>
        <w:t xml:space="preserve">(1.60 A, safinamide-bound, native FAD) and TTBK1 PDB</w:t>
      </w:r>
      <w:r>
        <w:t xml:space="preserve"> </w:t>
      </w:r>
      <w:r>
        <w:rPr>
          <w:b/>
          <w:bCs/>
        </w:rPr>
        <w:t xml:space="preserve">4NFM</w:t>
      </w:r>
      <w:r>
        <w:t xml:space="preserve"> </w:t>
      </w:r>
      <w:r>
        <w:t xml:space="preserve">(2.12 A kinase domain). Anti-targets: MAO-A PDB</w:t>
      </w:r>
      <w:r>
        <w:t xml:space="preserve"> </w:t>
      </w:r>
      <w:r>
        <w:rPr>
          <w:b/>
          <w:bCs/>
        </w:rPr>
        <w:t xml:space="preserve">2Z5X</w:t>
      </w:r>
      <w:r>
        <w:t xml:space="preserve"> </w:t>
      </w:r>
      <w:r>
        <w:t xml:space="preserve">(2.20 A, harmine-bound)</w:t>
      </w:r>
      <w:r>
        <w:t xml:space="preserve"> </w:t>
      </w:r>
      <w:r>
        <w:t xml:space="preserve">and TTBK2 PDB</w:t>
      </w:r>
      <w:r>
        <w:t xml:space="preserve"> </w:t>
      </w:r>
      <w:r>
        <w:rPr>
          <w:b/>
          <w:bCs/>
        </w:rPr>
        <w:t xml:space="preserve">7Q8Y</w:t>
      </w:r>
      <w:r>
        <w:t xml:space="preserve"> </w:t>
      </w:r>
      <w:r>
        <w:t xml:space="preserve">(1.60 A) and</w:t>
      </w:r>
      <w:r>
        <w:t xml:space="preserve"> </w:t>
      </w:r>
      <w:r>
        <w:rPr>
          <w:b/>
          <w:bCs/>
        </w:rPr>
        <w:t xml:space="preserve">6U0K</w:t>
      </w:r>
      <w:r>
        <w:t xml:space="preserve"> </w:t>
      </w:r>
      <w:r>
        <w:t xml:space="preserve">(1.74 A). Ligands were protonated at pH 7.4.</w:t>
      </w:r>
    </w:p>
    <w:p>
      <w:pPr>
        <w:pStyle w:val="BodyText"/>
      </w:pPr>
      <w:r>
        <w:t xml:space="preserve">Two structure-level corrections were made against the initial study design and are reported</w:t>
      </w:r>
      <w:r>
        <w:t xml:space="preserve"> </w:t>
      </w:r>
      <w:r>
        <w:t xml:space="preserve">rather than silently applied. First, the originally specified MAO-B structure 2V60 does not</w:t>
      </w:r>
      <w:r>
        <w:t xml:space="preserve"> </w:t>
      </w:r>
      <w:r>
        <w:t xml:space="preserve">contain safinamide — its co-crystallized ligand is a coumarin-4-carbaldehyde analog — so</w:t>
      </w:r>
      <w:r>
        <w:t xml:space="preserve"> </w:t>
      </w:r>
      <w:r>
        <w:t xml:space="preserve">2V5Z was used instead, which is both the genuine safinamide complex and higher resolution.</w:t>
      </w:r>
      <w:r>
        <w:t xml:space="preserve"> </w:t>
      </w:r>
      <w:r>
        <w:t xml:space="preserve">Second, 4NFM is apo (only cryoprotectant glycerol is bound), so native-ligand redocking</w:t>
      </w:r>
      <w:r>
        <w:t xml:space="preserve"> </w:t>
      </w:r>
      <w:r>
        <w:t xml:space="preserve">validation is impossible on that structure; the grid box was instead defined from the</w:t>
      </w:r>
      <w:r>
        <w:t xml:space="preserve"> </w:t>
      </w:r>
      <w:r>
        <w:t xml:space="preserve">resolved catalytic Lys38 and DFG176 landmarks and transferred from 7Q8Y by kinase-domain</w:t>
      </w:r>
      <w:r>
        <w:t xml:space="preserve"> </w:t>
      </w:r>
      <w:r>
        <w:t xml:space="preserve">superposition.</w:t>
      </w:r>
    </w:p>
    <w:p>
      <w:pPr>
        <w:pStyle w:val="BodyText"/>
      </w:pPr>
      <w:r>
        <w:t xml:space="preserve">Redocking validation results are asymmetric and constrain interpretation throughout: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Receptor</w:t>
            </w:r>
          </w:p>
        </w:tc>
        <w:tc>
          <w:tcPr/>
          <w:p>
            <w:pPr>
              <w:pStyle w:val="Compact"/>
            </w:pPr>
            <w:r>
              <w:t xml:space="preserve">Native ligand</w:t>
            </w:r>
          </w:p>
        </w:tc>
        <w:tc>
          <w:tcPr/>
          <w:p>
            <w:pPr>
              <w:pStyle w:val="Compact"/>
            </w:pPr>
            <w:r>
              <w:t xml:space="preserve">Best RMSD (A)</w:t>
            </w:r>
          </w:p>
        </w:tc>
        <w:tc>
          <w:tcPr/>
          <w:p>
            <w:pPr>
              <w:pStyle w:val="Compact"/>
            </w:pPr>
            <w:r>
              <w:t xml:space="preserve">Pass (&lt; 2.0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 2V5Z</w:t>
            </w:r>
          </w:p>
        </w:tc>
        <w:tc>
          <w:tcPr/>
          <w:p>
            <w:pPr>
              <w:pStyle w:val="Compact"/>
            </w:pPr>
            <w:r>
              <w:t xml:space="preserve">safinamide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TTBK2 7Q8Y</w:t>
            </w:r>
          </w:p>
        </w:tc>
        <w:tc>
          <w:tcPr/>
          <w:p>
            <w:pPr>
              <w:pStyle w:val="Compact"/>
            </w:pPr>
            <w:r>
              <w:t xml:space="preserve">9IV</w:t>
            </w:r>
          </w:p>
        </w:tc>
        <w:tc>
          <w:tcPr/>
          <w:p>
            <w:pPr>
              <w:pStyle w:val="Compact"/>
            </w:pPr>
            <w:r>
              <w:t xml:space="preserve">5.29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TTBK1 4NFM</w:t>
            </w:r>
          </w:p>
        </w:tc>
        <w:tc>
          <w:tcPr/>
          <w:p>
            <w:pPr>
              <w:pStyle w:val="Compact"/>
            </w:pPr>
            <w:r>
              <w:t xml:space="preserve">(apo)</w:t>
            </w:r>
          </w:p>
        </w:tc>
        <w:tc>
          <w:tcPr/>
          <w:p>
            <w:pPr>
              <w:pStyle w:val="Compact"/>
            </w:pPr>
            <w:r>
              <w:t xml:space="preserve">not testable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 2Z5X</w:t>
            </w:r>
          </w:p>
        </w:tc>
        <w:tc>
          <w:tcPr/>
          <w:p>
            <w:pPr>
              <w:pStyle w:val="Compact"/>
            </w:pPr>
            <w:r>
              <w:t xml:space="preserve">(FAD transplanted from 2V5Z)</w:t>
            </w:r>
          </w:p>
        </w:tc>
        <w:tc>
          <w:tcPr/>
          <w:p>
            <w:pPr>
              <w:pStyle w:val="Compac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TTBK2 6U0K</w:t>
            </w:r>
          </w:p>
        </w:tc>
        <w:tc>
          <w:tcPr/>
          <w:p>
            <w:pPr>
              <w:pStyle w:val="Compact"/>
            </w:pPr>
            <w:r>
              <w:t xml:space="preserve">(not performed)</w:t>
            </w:r>
          </w:p>
        </w:tc>
        <w:tc>
          <w:tcPr/>
          <w:p>
            <w:pPr>
              <w:pStyle w:val="Compac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Only MAO-B carries a passing redocking validation. The TTBK2 7Q8Y failure was investigated</w:t>
      </w:r>
      <w:r>
        <w:t xml:space="preserve"> </w:t>
      </w:r>
      <w:r>
        <w:t xml:space="preserve">(no steric clash identified; re-run at exhaustiveness 32 with 20 poses) and attributed to a</w:t>
      </w:r>
      <w:r>
        <w:t xml:space="preserve"> </w:t>
      </w:r>
      <w:r>
        <w:t xml:space="preserve">genuine Vina scoring-function limitation for that ligand/pocket rather than a setup error.</w:t>
      </w:r>
    </w:p>
    <w:bookmarkEnd w:id="12"/>
    <w:bookmarkStart w:id="13" w:name="X9e293f6295c3842b9d9d5240f29e7f6a22e57d1"/>
    <w:p>
      <w:pPr>
        <w:pStyle w:val="Heading2"/>
      </w:pPr>
      <w:r>
        <w:t xml:space="preserve">2.3 Generative design under a BBB-aware reward</w:t>
      </w:r>
    </w:p>
    <w:p>
      <w:pPr>
        <w:pStyle w:val="FirstParagraph"/>
      </w:pPr>
      <w:r>
        <w:t xml:space="preserve">Molecular generation used REINVENT4 LibInvent to decorate a fixed scaffold core.</w:t>
      </w:r>
      <w:r>
        <w:t xml:space="preserve"> </w:t>
      </w:r>
      <w:r>
        <w:t xml:space="preserve">An initial campaign on the native flavonol core (three mandatory phenolic/carbonyl oxygens</w:t>
      </w:r>
      <w:r>
        <w:t xml:space="preserve"> </w:t>
      </w:r>
      <w:r>
        <w:t xml:space="preserve">at 3-OH, 5-OH, 7-OH) used a three-component reward (TTBK1 docking 0.35 / MAO-B docking 0.35</w:t>
      </w:r>
      <w:r>
        <w:t xml:space="preserve"> </w:t>
      </w:r>
      <w:r>
        <w:t xml:space="preserve">/ synthetic accessibility 0.15, plus BBB 0.15 introduced in the second campaign), Vina at</w:t>
      </w:r>
      <w:r>
        <w:t xml:space="preserve"> </w:t>
      </w:r>
      <w:r>
        <w:t xml:space="preserve">exhaustiveness 4 for tractability across ~1,000 candidates per run.</w:t>
      </w:r>
    </w:p>
    <w:p>
      <w:pPr>
        <w:pStyle w:val="BodyText"/>
      </w:pPr>
      <w:r>
        <w:t xml:space="preserve">After that campaign failed the BBB gate outright (Section 3.1), the scaffold was redesigned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mono-deoxy 7-deoxyflavonol</w:t>
      </w:r>
      <w:r>
        <w:t xml:space="preserve"> </w:t>
      </w:r>
      <w:r>
        <w:t xml:space="preserve">— retaining the 5-OH/4-carbonyl intramolecular hydrogen</w:t>
      </w:r>
      <w:r>
        <w:t xml:space="preserve"> </w:t>
      </w:r>
      <w:r>
        <w:t xml:space="preserve">bond and removing the 7-OH — and the reward was rebuilt with a fourth, direct BOILED-Egg BBB</w:t>
      </w:r>
      <w:r>
        <w:t xml:space="preserve"> </w:t>
      </w:r>
      <w:r>
        <w:t xml:space="preserve">signed-distance term (weights: TTBK1 0.35, MAO-B 0.35, SA 0.15, BBB 0.15; geometric mean).</w:t>
      </w:r>
      <w:r>
        <w:t xml:space="preserve"> </w:t>
      </w:r>
      <w:r>
        <w:t xml:space="preserve">An initial scaffold construction that inadvertently retained 7-OH and removed 5-OH was</w:t>
      </w:r>
      <w:r>
        <w:t xml:space="preserve"> </w:t>
      </w:r>
      <w:r>
        <w:t xml:space="preserve">detected and corrected, and the 32-step run was re-executed from scratch on the corrected</w:t>
      </w:r>
      <w:r>
        <w:t xml:space="preserve"> </w:t>
      </w:r>
      <w:r>
        <w:t xml:space="preserve">regiochemistry.</w:t>
      </w:r>
    </w:p>
    <w:bookmarkEnd w:id="13"/>
    <w:bookmarkStart w:id="14" w:name="filtering-cascade"/>
    <w:p>
      <w:pPr>
        <w:pStyle w:val="Heading2"/>
      </w:pPr>
      <w:r>
        <w:t xml:space="preserve">2.4 Filtering cascade</w:t>
      </w:r>
    </w:p>
    <w:p>
      <w:pPr>
        <w:pStyle w:val="FirstParagraph"/>
      </w:pPr>
      <w:r>
        <w:t xml:space="preserve">Applied in fixed order: RDKit sanitization and canonical deduplication with novelty check</w:t>
      </w:r>
      <w:r>
        <w:t xml:space="preserve"> </w:t>
      </w:r>
      <w:r>
        <w:t xml:space="preserve">against the natural-product seed library; Lipinski Ro5; BOILED-Egg GI-absorption and BBB</w:t>
      </w:r>
      <w:r>
        <w:t xml:space="preserve"> </w:t>
      </w:r>
      <w:r>
        <w:t xml:space="preserve">ellipse gates (Daina &amp; Zoete 2016, computed from RDKit WLOGP/TPSA); PAINS (A/B/C) and BRENK</w:t>
      </w:r>
      <w:r>
        <w:t xml:space="preserve"> </w:t>
      </w:r>
      <w:r>
        <w:t xml:space="preserve">reactive-group alerts via the RDKit FilterCatalog. The BBB gate was applied as a literal</w:t>
      </w:r>
      <w:r>
        <w:t xml:space="preserve"> </w:t>
      </w:r>
      <w:r>
        <w:t xml:space="preserve">mandatory filter, not an advisory annotation.</w:t>
      </w:r>
    </w:p>
    <w:bookmarkEnd w:id="14"/>
    <w:bookmarkStart w:id="15" w:name="Xd4f3d0cf1e73be0d152c8d71b6252504e5decbf"/>
    <w:p>
      <w:pPr>
        <w:pStyle w:val="Heading2"/>
      </w:pPr>
      <w:r>
        <w:t xml:space="preserve">2.5 Consensus re-docking and independent scoring-function cross-check</w:t>
      </w:r>
    </w:p>
    <w:p>
      <w:pPr>
        <w:pStyle w:val="FirstParagraph"/>
      </w:pPr>
      <w:r>
        <w:t xml:space="preserve">All shortlisted candidates were re-docked against both on-targets with AutoDock Vina at</w:t>
      </w:r>
      <w:r>
        <w:t xml:space="preserve"> </w:t>
      </w:r>
      <w:r>
        <w:t xml:space="preserve">exhaustiveness 32, 9 poses, and 3 independent random seeds (11/22/33), each seed using an</w:t>
      </w:r>
      <w:r>
        <w:t xml:space="preserve"> </w:t>
      </w:r>
      <w:r>
        <w:t xml:space="preserve">independent RDKit conformer embedding rather than a re-seeded search on the same starting</w:t>
      </w:r>
      <w:r>
        <w:t xml:space="preserve"> </w:t>
      </w:r>
      <w:r>
        <w:t xml:space="preserve">geometry. Reported per ligand: best score across all seeds and poses, consensus score (mean</w:t>
      </w:r>
      <w:r>
        <w:t xml:space="preserve"> </w:t>
      </w:r>
      <w:r>
        <w:t xml:space="preserve">of the per-seed best pose), and inter-seed standard deviation.</w:t>
      </w:r>
    </w:p>
    <w:p>
      <w:pPr>
        <w:pStyle w:val="BodyText"/>
      </w:pPr>
      <w:r>
        <w:t xml:space="preserve">Because both the reward function and the re-dock used the same Vina scoring function, an</w:t>
      </w:r>
      <w:r>
        <w:t xml:space="preserve"> </w:t>
      </w:r>
      <w:r>
        <w:t xml:space="preserve">independent cross-check was run: the top-15 dual-target candidates were re-docked from</w:t>
      </w:r>
      <w:r>
        <w:t xml:space="preserve"> </w:t>
      </w:r>
      <w:r>
        <w:t xml:space="preserve">scratch and rescored with</w:t>
      </w:r>
      <w:r>
        <w:t xml:space="preserve"> </w:t>
      </w:r>
      <w:r>
        <w:rPr>
          <w:b/>
          <w:bCs/>
        </w:rPr>
        <w:t xml:space="preserve">Vinardo</w:t>
      </w:r>
      <w:r>
        <w:t xml:space="preserve"> </w:t>
      </w:r>
      <w:r>
        <w:t xml:space="preserve">(Quiroga &amp; Villarreal 2016), a distinct functional form</w:t>
      </w:r>
      <w:r>
        <w:t xml:space="preserve"> </w:t>
      </w:r>
      <w:r>
        <w:t xml:space="preserve">and parameterization.</w:t>
      </w:r>
    </w:p>
    <w:bookmarkEnd w:id="15"/>
    <w:bookmarkStart w:id="16" w:name="anti-target-counter-screening"/>
    <w:p>
      <w:pPr>
        <w:pStyle w:val="Heading2"/>
      </w:pPr>
      <w:r>
        <w:t xml:space="preserve">2.6 Anti-target counter-screening</w:t>
      </w:r>
    </w:p>
    <w:p>
      <w:pPr>
        <w:pStyle w:val="FirstParagraph"/>
      </w:pPr>
      <w:r>
        <w:t xml:space="preserve">The same consensus protocol was applied to all three anti-target receptors (MAO-A 2Z5X,</w:t>
      </w:r>
      <w:r>
        <w:t xml:space="preserve"> </w:t>
      </w:r>
      <w:r>
        <w:t xml:space="preserve">TTBK2 6U0K, TTBK2 7Q8Y). Selectivity margin was defined as</w:t>
      </w:r>
      <w:r>
        <w:t xml:space="preserve"> </w:t>
      </w:r>
      <w:r>
        <w:rPr>
          <w:rStyle w:val="VerbatimChar"/>
        </w:rPr>
        <w:t xml:space="preserve">on-target consensus best - anti-target consensus best</w:t>
      </w:r>
      <w:r>
        <w:t xml:space="preserve">, so a negative margin indicates</w:t>
      </w:r>
      <w:r>
        <w:t xml:space="preserve"> </w:t>
      </w:r>
      <w:r>
        <w:t xml:space="preserve">favorable on-target selectivity.</w:t>
      </w:r>
    </w:p>
    <w:bookmarkEnd w:id="16"/>
    <w:bookmarkStart w:id="17" w:name="molecular-dynamics-and-mm-gbsa"/>
    <w:p>
      <w:pPr>
        <w:pStyle w:val="Heading2"/>
      </w:pPr>
      <w:r>
        <w:t xml:space="preserve">2.7 Molecular dynamics and MM-GBSA</w:t>
      </w:r>
    </w:p>
    <w:p>
      <w:pPr>
        <w:pStyle w:val="FirstParagraph"/>
      </w:pPr>
      <w:r>
        <w:t xml:space="preserve">The single most scoring-function-robust candidate (Section 3.3) was advanced to MD against</w:t>
      </w:r>
      <w:r>
        <w:t xml:space="preserve"> </w:t>
      </w:r>
      <w:r>
        <w:t xml:space="preserve">both on-targets. Systems were built with PDBFixer, ligands parameterized with acpype/GAFF2,</w:t>
      </w:r>
      <w:r>
        <w:t xml:space="preserve"> </w:t>
      </w:r>
      <w:r>
        <w:t xml:space="preserve">topologies assembled with GROMACS</w:t>
      </w:r>
      <w:r>
        <w:t xml:space="preserve"> </w:t>
      </w:r>
      <w:r>
        <w:rPr>
          <w:rStyle w:val="VerbatimChar"/>
        </w:rPr>
        <w:t xml:space="preserve">pdb2gmx</w:t>
      </w:r>
      <w:r>
        <w:t xml:space="preserve">, solvated in explicit water with counterions,</w:t>
      </w:r>
      <w:r>
        <w:t xml:space="preserve"> </w:t>
      </w:r>
      <w:r>
        <w:t xml:space="preserve">and energy-minimized and propagated with</w:t>
      </w:r>
      <w:r>
        <w:t xml:space="preserve"> </w:t>
      </w:r>
      <w:r>
        <w:rPr>
          <w:b/>
          <w:bCs/>
        </w:rPr>
        <w:t xml:space="preserve">OpenMM</w:t>
      </w:r>
      <w:r>
        <w:t xml:space="preserve"> </w:t>
      </w:r>
      <w:r>
        <w:t xml:space="preserve">reading the GROMACS topology and</w:t>
      </w:r>
      <w:r>
        <w:t xml:space="preserve"> </w:t>
      </w:r>
      <w:r>
        <w:t xml:space="preserve">coordinates directly (the local GROMACS build was OpenCL-only and did not detect the</w:t>
      </w:r>
      <w:r>
        <w:t xml:space="preserve"> </w:t>
      </w:r>
      <w:r>
        <w:t xml:space="preserve">available CUDA device). Production runs were 20 ns per system on a single NVIDIA RTX 4050</w:t>
      </w:r>
      <w:r>
        <w:t xml:space="preserve"> </w:t>
      </w:r>
      <w:r>
        <w:t xml:space="preserve">(6 GB), executed sequentially (TTBK1 3.19 h; MAO-B 5.99 h). MAO-B’s FAD cofactor was</w:t>
      </w:r>
      <w:r>
        <w:t xml:space="preserve"> </w:t>
      </w:r>
      <w:r>
        <w:t xml:space="preserve">retained throughout.</w:t>
      </w:r>
    </w:p>
    <w:p>
      <w:pPr>
        <w:pStyle w:val="BodyText"/>
      </w:pPr>
      <w:r>
        <w:t xml:space="preserve">Trajectory analysis (MDAnalysis) computed protein and ligand RMSD against the</w:t>
      </w:r>
      <w: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 frame</w:t>
      </w:r>
      <w:r>
        <w:t xml:space="preserve">, per-residue RMSF, and hydrogen-bond occupancy using explicit</w:t>
      </w:r>
      <w:r>
        <w:t xml:space="preserve"> </w:t>
      </w:r>
      <w:r>
        <w:t xml:space="preserve">element-based donor/acceptor selections.</w:t>
      </w:r>
    </w:p>
    <w:p>
      <w:pPr>
        <w:pStyle w:val="BodyText"/>
      </w:pPr>
      <w:r>
        <w:t xml:space="preserve">Binding free energies used AmberTools</w:t>
      </w:r>
      <w:r>
        <w:t xml:space="preserve"> </w:t>
      </w:r>
      <w:r>
        <w:rPr>
          <w:b/>
          <w:bCs/>
        </w:rPr>
        <w:t xml:space="preserve">MMPBSA.py</w:t>
      </w:r>
      <w:r>
        <w:t xml:space="preserve"> </w:t>
      </w:r>
      <w:r>
        <w:t xml:space="preserve">in single-trajectory MM-GBSA mode</w:t>
      </w:r>
      <w:r>
        <w:t xml:space="preserve"> </w:t>
      </w:r>
      <w:r>
        <w:t xml:space="preserve">(igb = 5, salt concentration 0.150 M, 100 evenly-spaced frames). GROMACS topologies were</w:t>
      </w:r>
      <w:r>
        <w:t xml:space="preserve"> </w:t>
      </w:r>
      <w:r>
        <w:t xml:space="preserve">converted to Amber</w:t>
      </w:r>
      <w:r>
        <w:t xml:space="preserve"> </w:t>
      </w:r>
      <w:r>
        <w:rPr>
          <w:rStyle w:val="VerbatimChar"/>
        </w:rPr>
        <w:t xml:space="preserve">prmtop</w:t>
      </w:r>
      <w:r>
        <w:t xml:space="preserve"> </w:t>
      </w:r>
      <w:r>
        <w:t xml:space="preserve">with ParmEd, with three conversions required for correctness:</w:t>
      </w:r>
      <w:r>
        <w:t xml:space="preserve"> </w:t>
      </w:r>
      <w:r>
        <w:t xml:space="preserve">periodic box information was cleared for implicit solvent; dihedral types carried over with</w:t>
      </w:r>
      <w:r>
        <w:t xml:space="preserve"> </w:t>
      </w:r>
      <w:r>
        <w:t xml:space="preserve">GROMACS’ zero-periodicity/zero-force-constant convention were reassigned a nonzero</w:t>
      </w:r>
      <w:r>
        <w:t xml:space="preserve"> </w:t>
      </w:r>
      <w:r>
        <w:t xml:space="preserve">periodicity (energetically inert, since the force constant is zero, but required by the</w:t>
      </w:r>
      <w:r>
        <w:t xml:space="preserve"> </w:t>
      </w:r>
      <w:r>
        <w:t xml:space="preserve">Amber parser); and Born radii and screening parameters — absent from any GROMACS topology —</w:t>
      </w:r>
      <w:r>
        <w:t xml:space="preserve"> </w:t>
      </w:r>
      <w:r>
        <w:t xml:space="preserve">were assigned with ParmEd</w:t>
      </w:r>
      <w:r>
        <w:t xml:space="preserve"> </w:t>
      </w:r>
      <w:r>
        <w:rPr>
          <w:rStyle w:val="VerbatimChar"/>
        </w:rPr>
        <w:t xml:space="preserve">changeRadii mbondi2</w:t>
      </w:r>
      <w:r>
        <w:t xml:space="preserve"> </w:t>
      </w:r>
      <w:r>
        <w:t xml:space="preserve">to match igb = 5. For MAO-B, FAD was</w:t>
      </w:r>
      <w:r>
        <w:t xml:space="preserve"> </w:t>
      </w:r>
      <w:r>
        <w:t xml:space="preserve">assigned to the</w:t>
      </w:r>
      <w:r>
        <w:t xml:space="preserve"> </w:t>
      </w:r>
      <w:r>
        <w:rPr>
          <w:b/>
          <w:bCs/>
        </w:rPr>
        <w:t xml:space="preserve">receptor</w:t>
      </w:r>
      <w:r>
        <w:t xml:space="preserve">, not scored as ligand, since it is a covalently-linked</w:t>
      </w:r>
      <w:r>
        <w:t xml:space="preserve"> </w:t>
      </w:r>
      <w:r>
        <w:t xml:space="preserve">biological component of the active site; only the small molecule was scored as ligand.</w:t>
      </w:r>
    </w:p>
    <w:bookmarkEnd w:id="17"/>
    <w:bookmarkStart w:id="18" w:name="X7daf682c1201b4aa8a4b2cc0a23ec1ef6975f43"/>
    <w:p>
      <w:pPr>
        <w:pStyle w:val="Heading2"/>
      </w:pPr>
      <w:r>
        <w:t xml:space="preserve">2.8 Reproducibility and limitations of the computational protocol</w:t>
      </w:r>
    </w:p>
    <w:p>
      <w:pPr>
        <w:pStyle w:val="FirstParagraph"/>
      </w:pPr>
      <w:r>
        <w:t xml:space="preserve">All reported affinities are computed, not measured. MM-GBSA in single-trajectory mode</w:t>
      </w:r>
      <w:r>
        <w:t xml:space="preserve"> </w:t>
      </w:r>
      <w:r>
        <w:t xml:space="preserve">neglects conformational entropy and receptor reorganization, and systematically overestimates</w:t>
      </w:r>
      <w:r>
        <w:t xml:space="preserve"> </w:t>
      </w:r>
      <w:r>
        <w:t xml:space="preserve">the magnitude of binding free energies; its values are used here for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comparison</w:t>
      </w:r>
      <w:r>
        <w:t xml:space="preserve"> </w:t>
      </w:r>
      <w:r>
        <w:t xml:space="preserve">between the two on-targets and are not interpretable as absolute affinities or convertible</w:t>
      </w:r>
      <w:r>
        <w:t xml:space="preserve"> </w:t>
      </w:r>
      <w:r>
        <w:t xml:space="preserve">to Kd. Single 20 ns replicates per system, on one candidate, are a screening-level and not a</w:t>
      </w:r>
      <w:r>
        <w:t xml:space="preserve"> </w:t>
      </w:r>
      <w:r>
        <w:t xml:space="preserve">converged sampling protocol.</w:t>
      </w:r>
    </w:p>
    <w:bookmarkEnd w:id="18"/>
    <w:bookmarkEnd w:id="19"/>
    <w:bookmarkStart w:id="48" w:name="results"/>
    <w:p>
      <w:pPr>
        <w:pStyle w:val="Heading1"/>
      </w:pPr>
      <w:r>
        <w:t xml:space="preserve">3. Results</w:t>
      </w:r>
    </w:p>
    <w:bookmarkStart w:id="20" w:name="X86d4c4ea0fba99b146b7abe184e9fb890d516d7"/>
    <w:p>
      <w:pPr>
        <w:pStyle w:val="Heading2"/>
      </w:pPr>
      <w:r>
        <w:t xml:space="preserve">3.1 The native flavonol scaffold has an absolute BBB ceiling</w:t>
      </w:r>
    </w:p>
    <w:p>
      <w:pPr>
        <w:pStyle w:val="FirstParagraph"/>
      </w:pPr>
      <w:r>
        <w:t xml:space="preserve">The first generative campaign produced 1,280 scored molecules, reducing to 666 unique,</w:t>
      </w:r>
      <w:r>
        <w:t xml:space="preserve"> </w:t>
      </w:r>
      <w:r>
        <w:t xml:space="preserve">valid, novel candidates. The filtering cascade gave 587 passing Lipinski, 198 passing</w:t>
      </w:r>
      <w:r>
        <w:t xml:space="preserve"> </w:t>
      </w:r>
      <w:r>
        <w:t xml:space="preserve">GI-absorption, and 217 alert-free — but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passing the BOILED-Egg BBB gate.</w:t>
      </w:r>
    </w:p>
    <w:p>
      <w:pPr>
        <w:pStyle w:val="BodyText"/>
      </w:pPr>
      <w:r>
        <w:t xml:space="preserve">The cause is structural, not statistical. Minimum TPSA across all 666 candidates was</w:t>
      </w:r>
      <w:r>
        <w:t xml:space="preserve"> </w:t>
      </w:r>
      <w:r>
        <w:rPr>
          <w:b/>
          <w:bCs/>
        </w:rPr>
        <w:t xml:space="preserve">90.9 A^2</w:t>
      </w:r>
      <w:r>
        <w:t xml:space="preserve">, a floor set by the flavonol core itself: the mandatory 3-OH, 4-C=O and 5-OH</w:t>
      </w:r>
      <w:r>
        <w:t xml:space="preserve"> </w:t>
      </w:r>
      <w:r>
        <w:t xml:space="preserve">oxygens plus the pyranone ring oxygen. The BOILED-Egg BBB region requires roughly</w:t>
      </w:r>
      <w:r>
        <w:t xml:space="preserve"> </w:t>
      </w:r>
      <w:r>
        <w:t xml:space="preserve">TPSA &lt; 79 A^2 at the relevant WLogP, so no B-ring decoration can bring a native flavonol</w:t>
      </w:r>
      <w:r>
        <w:t xml:space="preserve"> </w:t>
      </w:r>
      <w:r>
        <w:t xml:space="preserve">into the permeant region. Both natural seed compounds (kaempferol, quercetin) and the</w:t>
      </w:r>
      <w:r>
        <w:t xml:space="preserve"> </w:t>
      </w:r>
      <w:r>
        <w:t xml:space="preserve">literature TTBK1/2 reference inhibitor also fall outside the ellipse. Under the literal</w:t>
      </w:r>
      <w:r>
        <w:t xml:space="preserve"> </w:t>
      </w:r>
      <w:r>
        <w:t xml:space="preserve">BBB gate the formal output of this campaign is a null shortlist.</w:t>
      </w:r>
    </w:p>
    <w:bookmarkEnd w:id="20"/>
    <w:bookmarkStart w:id="24" w:name="X6729c21b59b6f53c6bc20fe489b3abe0551f3de"/>
    <w:p>
      <w:pPr>
        <w:pStyle w:val="Heading2"/>
      </w:pPr>
      <w:r>
        <w:t xml:space="preserve">3.2 Scaffold deoxygenation converts a null result into 56 candidates</w:t>
      </w:r>
    </w:p>
    <w:p>
      <w:pPr>
        <w:pStyle w:val="FirstParagraph"/>
      </w:pPr>
      <w:r>
        <w:t xml:space="preserve">Removing the 7-OH to give a 7-deoxyflavonol core, while retaining the 5-OH/4-carbonyl</w:t>
      </w:r>
      <w:r>
        <w:t xml:space="preserve"> </w:t>
      </w:r>
      <w:r>
        <w:t xml:space="preserve">intramolecular hydrogen bond, and adding a direct BBB signed-distance reward term produced</w:t>
      </w:r>
      <w:r>
        <w:t xml:space="preserve"> </w:t>
      </w:r>
      <w:r>
        <w:t xml:space="preserve">1,024 candidates over 32 steps (405 unique, valid, novel). Mean composite reward rose from</w:t>
      </w:r>
      <w:r>
        <w:t xml:space="preserve"> </w:t>
      </w:r>
      <w:r>
        <w:t xml:space="preserve">0.08 at step 1 to a 0.45-0.53 plateau by steps 20-32.</w:t>
      </w:r>
    </w:p>
    <w:p>
      <w:pPr>
        <w:pStyle w:val="BodyText"/>
      </w:pPr>
      <w:r>
        <w:t xml:space="preserve">The BBB pass rate over the run is informative about the underlying trade-off rather than a</w:t>
      </w:r>
      <w:r>
        <w:t xml:space="preserve"> </w:t>
      </w:r>
      <w:r>
        <w:t xml:space="preserve">clean success curve: steps 1-2, still near the unmodified prior, start at 71.9% and 62.5%;</w:t>
      </w:r>
      <w:r>
        <w:t xml:space="preserve"> </w:t>
      </w:r>
      <w:r>
        <w:t xml:space="preserve">steps 3-8 collapse to a 0-34.4% range (mean 16.9%) as reinforcement learning optimizes</w:t>
      </w:r>
      <w:r>
        <w:t xml:space="preserve"> </w:t>
      </w:r>
      <w:r>
        <w:t xml:space="preserve">docking affinity at the expense of permeability; from step ~9 the BBB-aware term pulls the</w:t>
      </w:r>
      <w:r>
        <w:t xml:space="preserve"> </w:t>
      </w:r>
      <w:r>
        <w:t xml:space="preserve">rate back, averaging 45% over steps 13-32 but still ranging 12.5-65.6% between 32-candidate</w:t>
      </w:r>
      <w:r>
        <w:t xml:space="preserve"> </w:t>
      </w:r>
      <w:r>
        <w:t xml:space="preserve">batches, with no further downward trend. Overall run pass rate was 389/1024 (38%).</w:t>
      </w:r>
    </w:p>
    <w:p>
      <w:pPr>
        <w:pStyle w:val="BodyText"/>
      </w:pPr>
      <w:r>
        <w:t xml:space="preserve">Final cascade: 369 Lipinski-passing, 81 BBB-passing, 334 GI-passing, 253 alert-free, and</w:t>
      </w:r>
      <w:r>
        <w:t xml:space="preserve"> </w:t>
      </w:r>
      <w:r>
        <w:rPr>
          <w:b/>
          <w:bCs/>
        </w:rPr>
        <w:t xml:space="preserve">56 candidates passing all filters simultaneously</w:t>
      </w:r>
      <w:r>
        <w:t xml:space="preserve"> </w:t>
      </w:r>
      <w:r>
        <w:t xml:space="preserve">— the qualitative reversal the redesign</w:t>
      </w:r>
      <w:r>
        <w:t xml:space="preserve"> </w:t>
      </w:r>
      <w:r>
        <w:t xml:space="preserve">targeted. The 56 span MW 310-420 Da, TPSA 70.7-77.2 A^2 (inside the BBB ellipse), WLogP</w:t>
      </w:r>
      <w:r>
        <w:t xml:space="preserve"> </w:t>
      </w:r>
      <w:r>
        <w:t xml:space="preserve">3.6-4.8, and 8 unique Murcko scaffolds.</w:t>
      </w:r>
    </w:p>
    <w:p>
      <w:pPr>
        <w:pStyle w:val="CaptionedFigure"/>
      </w:pPr>
      <w:r>
        <w:drawing>
          <wp:inline>
            <wp:extent cx="5334000" cy="4667250"/>
            <wp:effectExtent b="0" l="0" r="0" t="0"/>
            <wp:docPr descr="Composite reward progression across the reinforcement-learning run." title="" id="22" name="Picture"/>
            <a:graphic>
              <a:graphicData uri="http://schemas.openxmlformats.org/drawingml/2006/picture">
                <pic:pic>
                  <pic:nvPicPr>
                    <pic:cNvPr descr="figs/rl_v2_score_progres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Composite reward progression across the reinforcement-learning run.</w:t>
      </w:r>
    </w:p>
    <w:bookmarkEnd w:id="24"/>
    <w:bookmarkStart w:id="28" w:name="X5484bf2c75151358f9811149ebeeeaf11152c94"/>
    <w:p>
      <w:pPr>
        <w:pStyle w:val="Heading2"/>
      </w:pPr>
      <w:r>
        <w:t xml:space="preserve">3.3 Docking rank order is not robust to the choice of scoring function</w:t>
      </w:r>
    </w:p>
    <w:p>
      <w:pPr>
        <w:pStyle w:val="FirstParagraph"/>
      </w:pPr>
      <w:r>
        <w:t xml:space="preserve">Multi-seed consensus re-docking at exhaustiveness 32 reproduced the reward-time ranking</w:t>
      </w:r>
      <w:r>
        <w:t xml:space="preserve"> </w:t>
      </w:r>
      <w:r>
        <w:t xml:space="preserve">well within the same scoring function (TTBK1 Pearson r = 0.96; MAO-B r = 0.74) with high</w:t>
      </w:r>
      <w:r>
        <w:t xml:space="preserve"> </w:t>
      </w:r>
      <w:r>
        <w:t xml:space="preserve">inter-seed reproducibility (mean best-pose SD 0.029 kcal/mol at TTBK1, 0.094 at MAO-B).</w:t>
      </w:r>
      <w:r>
        <w:t xml:space="preserve"> </w:t>
      </w:r>
      <w:r>
        <w:t xml:space="preserve">This establishes search convergence, not scoring-function reliability.</w:t>
      </w:r>
    </w:p>
    <w:p>
      <w:pPr>
        <w:pStyle w:val="BodyText"/>
      </w:pPr>
      <w:r>
        <w:t xml:space="preserve">The independent Vinardo cross-check on the top-15 shows weak agreement: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Vina-consensus vs. Vinardo (Pearson 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TTBK1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-0.28</w:t>
            </w:r>
          </w:p>
        </w:tc>
      </w:tr>
    </w:tbl>
    <w:p>
      <w:pPr>
        <w:pStyle w:val="BodyText"/>
      </w:pPr>
      <w:r>
        <w:t xml:space="preserve">This is a negative result and is reported as such. All 15 candidates score favorably in</w:t>
      </w:r>
      <w:r>
        <w:t xml:space="preserve"> </w:t>
      </w:r>
      <w:r>
        <w:t xml:space="preserve">absolute terms under both functions (Vina consensus -7 to -12 kcal/mol; Vinardo -5 to -9.5</w:t>
      </w:r>
      <w:r>
        <w:t xml:space="preserve"> </w:t>
      </w:r>
      <w:r>
        <w:t xml:space="preserve">kcal/mol, a known scale offset), so binary</w:t>
      </w:r>
      <w:r>
        <w:t xml:space="preserve"> </w:t>
      </w:r>
      <w:r>
        <w:t xml:space="preserve">“does this scaffold engage both sites plausibly”</w:t>
      </w:r>
      <w:r>
        <w:t xml:space="preserve"> </w:t>
      </w:r>
      <w:r>
        <w:t xml:space="preserve">calls survive. What does not survive is using the fine-grained numeric score to select a</w:t>
      </w:r>
      <w:r>
        <w:t xml:space="preserve"> </w:t>
      </w:r>
      <w:r>
        <w:t xml:space="preserve">single best compound: the Vina-consensus top pick and the Vinardo top pick are different</w:t>
      </w:r>
      <w:r>
        <w:t xml:space="preserve"> </w:t>
      </w:r>
      <w:r>
        <w:t xml:space="preserve">positional regioisomers of the same benzyl/methyl-decorated core.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Vina-consensus versus Vinardo cross-check for the top-15 candidates." title="" id="26" name="Picture"/>
            <a:graphic>
              <a:graphicData uri="http://schemas.openxmlformats.org/drawingml/2006/picture">
                <pic:pic>
                  <pic:nvPicPr>
                    <pic:cNvPr descr="figs/phase6_vinardo_crosscheck_scatt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Vina-consensus versus Vinardo cross-check for the top-15 candidates.</w:t>
      </w:r>
    </w:p>
    <w:p>
      <w:pPr>
        <w:pStyle w:val="BodyText"/>
      </w:pPr>
      <w:r>
        <w:t xml:space="preserve">Ranking was therefore restricted to candidates robust under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functions</w:t>
      </w:r>
      <w:r>
        <w:t xml:space="preserve"> </w:t>
      </w:r>
      <w:r>
        <w:t xml:space="preserve">independently. Only one qualifies —</w:t>
      </w:r>
      <w:r>
        <w:t xml:space="preserve"> </w:t>
      </w:r>
      <w:r>
        <w:rPr>
          <w:rStyle w:val="VerbatimChar"/>
        </w:rPr>
        <w:t xml:space="preserve">Cc1cc(-c2oc3cccc(O)c3c(=O)c2O)ccc1C(F)(F)F</w:t>
      </w:r>
      <w:r>
        <w:t xml:space="preserve">, a 4-trifluoromethyl/methyl-decorated</w:t>
      </w:r>
      <w:r>
        <w:t xml:space="preserve"> </w:t>
      </w:r>
      <w:r>
        <w:t xml:space="preserve">7-deoxyflavonol, ranked #2 under Vina-consensus alone and #2 under Vinardo alone. The</w:t>
      </w:r>
      <w:r>
        <w:t xml:space="preserve"> </w:t>
      </w:r>
      <w:r>
        <w:t xml:space="preserve">combined-average #1 candidate is Vinardo #1 but only ~8th of 15 under Vina-consensus; its</w:t>
      </w:r>
      <w:r>
        <w:t xml:space="preserve"> </w:t>
      </w:r>
      <w:r>
        <w:t xml:space="preserve">weak MAO-B Vina-consensus score (-10.32 kcal/mol, worst of the top-15 on that metric) is</w:t>
      </w:r>
      <w:r>
        <w:t xml:space="preserve"> </w:t>
      </w:r>
      <w:r>
        <w:t xml:space="preserve">masked by averaging rather than corroborated. This candidate (</w:t>
      </w:r>
      <w:r>
        <w:t xml:space="preserve">“the lead”</w:t>
      </w:r>
      <w:r>
        <w:t xml:space="preserve">) was advanced to MD.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TTBK1 Vina</w:t>
            </w:r>
          </w:p>
        </w:tc>
        <w:tc>
          <w:tcPr/>
          <w:p>
            <w:pPr>
              <w:pStyle w:val="Compact"/>
            </w:pPr>
            <w:r>
              <w:t xml:space="preserve">TTBK1 Vinardo</w:t>
            </w:r>
          </w:p>
        </w:tc>
        <w:tc>
          <w:tcPr/>
          <w:p>
            <w:pPr>
              <w:pStyle w:val="Compact"/>
            </w:pPr>
            <w:r>
              <w:t xml:space="preserve">MAO-B Vina</w:t>
            </w:r>
          </w:p>
        </w:tc>
        <w:tc>
          <w:tcPr/>
          <w:p>
            <w:pPr>
              <w:pStyle w:val="Compact"/>
            </w:pPr>
            <w:r>
              <w:t xml:space="preserve">MAO-B Vinardo</w:t>
            </w:r>
          </w:p>
        </w:tc>
        <w:tc>
          <w:tcPr/>
          <w:p>
            <w:pPr>
              <w:pStyle w:val="Compact"/>
            </w:pPr>
            <w:r>
              <w:t xml:space="preserve">Robust under both?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Cc1ccc(-c2oc3cccc(O)c3c(=O)c2O)cc1Cc1ccccc1</w:t>
            </w:r>
          </w:p>
        </w:tc>
        <w:tc>
          <w:tcPr/>
          <w:p>
            <w:pPr>
              <w:pStyle w:val="Compact"/>
            </w:pPr>
            <w:r>
              <w:t xml:space="preserve">-8.34</w:t>
            </w:r>
          </w:p>
        </w:tc>
        <w:tc>
          <w:tcPr/>
          <w:p>
            <w:pPr>
              <w:pStyle w:val="Compact"/>
            </w:pPr>
            <w:r>
              <w:t xml:space="preserve">-6.91</w:t>
            </w:r>
          </w:p>
        </w:tc>
        <w:tc>
          <w:tcPr/>
          <w:p>
            <w:pPr>
              <w:pStyle w:val="Compact"/>
            </w:pPr>
            <w:r>
              <w:t xml:space="preserve">-10.32</w:t>
            </w:r>
          </w:p>
        </w:tc>
        <w:tc>
          <w:tcPr/>
          <w:p>
            <w:pPr>
              <w:pStyle w:val="Compact"/>
            </w:pPr>
            <w:r>
              <w:t xml:space="preserve">-9.51</w:t>
            </w:r>
          </w:p>
        </w:tc>
        <w:tc>
          <w:tcPr/>
          <w:p>
            <w:pPr>
              <w:pStyle w:val="Compact"/>
            </w:pPr>
            <w:r>
              <w:t xml:space="preserve">no (Vina ~#8)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Cc1cc(-c2oc3cccc(O)c3c(=O)c2O)ccc1C(F)(F)F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-11.42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(#2 / #2)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Cc1cc(-c2oc3cccc(O)c3c(=O)c2O)ccc1Cc1ccccc1</w:t>
            </w:r>
          </w:p>
        </w:tc>
        <w:tc>
          <w:tcPr/>
          <w:p>
            <w:pPr>
              <w:pStyle w:val="Compact"/>
            </w:pPr>
            <w:r>
              <w:t xml:space="preserve">-8.15</w:t>
            </w:r>
          </w:p>
        </w:tc>
        <w:tc>
          <w:tcPr/>
          <w:p>
            <w:pPr>
              <w:pStyle w:val="Compact"/>
            </w:pPr>
            <w:r>
              <w:t xml:space="preserve">-6.94</w:t>
            </w:r>
          </w:p>
        </w:tc>
        <w:tc>
          <w:tcPr/>
          <w:p>
            <w:pPr>
              <w:pStyle w:val="Compact"/>
            </w:pPr>
            <w:r>
              <w:t xml:space="preserve">-11.49</w:t>
            </w:r>
          </w:p>
        </w:tc>
        <w:tc>
          <w:tcPr/>
          <w:p>
            <w:pPr>
              <w:pStyle w:val="Compact"/>
            </w:pPr>
            <w:r>
              <w:t xml:space="preserve">-6.46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8"/>
    <w:bookmarkStart w:id="35" w:name="Xfb992d61408aebf5be10f81ed604079133e4cdb"/>
    <w:p>
      <w:pPr>
        <w:pStyle w:val="Heading2"/>
      </w:pPr>
      <w:r>
        <w:t xml:space="preserve">3.4 The lead engages both on-target pockets with distinct interaction patterns</w:t>
      </w:r>
    </w:p>
    <w:p>
      <w:pPr>
        <w:pStyle w:val="FirstParagraph"/>
      </w:pPr>
      <w:r>
        <w:t xml:space="preserve">ProLIF profiling of the consensus best poses gives 10 scored contacts at TTBK1 and 14 at</w:t>
      </w:r>
      <w:r>
        <w:t xml:space="preserve"> </w:t>
      </w:r>
      <w:r>
        <w:t xml:space="preserve">MAO-B. At MAO-B the lead engages the aromatic cage adjacent to the FAD cofactor</w:t>
      </w:r>
      <w:r>
        <w:t xml:space="preserve"> </w:t>
      </w:r>
      <w:r>
        <w:t xml:space="preserve">(TYR326/PHE343/TYR435) plus the hydrophobic substrate cavity (PHE168, LEU171, CYS172,</w:t>
      </w:r>
      <w:r>
        <w:t xml:space="preserve"> </w:t>
      </w:r>
      <w:r>
        <w:t xml:space="preserve">ILE198/199, GLN206, ILE316). At TTBK1 it occupies the ATP pocket, contacting</w:t>
      </w:r>
      <w:r>
        <w:t xml:space="preserve"> </w:t>
      </w:r>
      <w:r>
        <w:t xml:space="preserve">ILE40/ILE48/GLN110/GLY111/LEU175 with a single hydrogen bond to ASN113 as acceptor.</w:t>
      </w:r>
    </w:p>
    <w:p>
      <w:pPr>
        <w:pStyle w:val="CaptionedFigure"/>
      </w:pPr>
      <w:r>
        <w:drawing>
          <wp:inline>
            <wp:extent cx="4893110" cy="3669832"/>
            <wp:effectExtent b="0" l="0" r="0" t="0"/>
            <wp:docPr descr="Lead candidate pose in the TTBK1 ATP pocket (4NFM)." title="" id="30" name="Picture"/>
            <a:graphic>
              <a:graphicData uri="http://schemas.openxmlformats.org/drawingml/2006/picture">
                <pic:pic>
                  <pic:nvPicPr>
                    <pic:cNvPr descr="figs/pose_primary_TTBK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11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Lead candidate pose in the TTBK1 ATP pocket (4NFM).</w:t>
      </w:r>
    </w:p>
    <w:p>
      <w:pPr>
        <w:pStyle w:val="CaptionedFigure"/>
      </w:pPr>
      <w:r>
        <w:drawing>
          <wp:inline>
            <wp:extent cx="4893110" cy="3669832"/>
            <wp:effectExtent b="0" l="0" r="0" t="0"/>
            <wp:docPr descr="Lead candidate pose in the MAO-B substrate cavity (2V5Z), FAD-adjacent aromatic cage." title="" id="33" name="Picture"/>
            <a:graphic>
              <a:graphicData uri="http://schemas.openxmlformats.org/drawingml/2006/picture">
                <pic:pic>
                  <pic:nvPicPr>
                    <pic:cNvPr descr="figs/pose_primary_MAO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11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Lead candidate pose in the MAO-B substrate cavity (2V5Z), FAD-adjacent aromatic cage.</w:t>
      </w:r>
    </w:p>
    <w:bookmarkEnd w:id="35"/>
    <w:bookmarkStart w:id="39" w:name="Xda5ed65d57e9327acdea0f7dc3f01bd00d9708e"/>
    <w:p>
      <w:pPr>
        <w:pStyle w:val="Heading2"/>
      </w:pPr>
      <w:r>
        <w:t xml:space="preserve">3.5 Both complexes are stable over 20 ns of molecular dynamics</w:t>
      </w:r>
    </w:p>
    <w:p>
      <w:pPr>
        <w:pStyle w:val="FirstParagraph"/>
      </w:pPr>
      <w:r>
        <w:t xml:space="preserve">Both systems equilibrated and remained stable. Last-quartile means (relative to the first</w:t>
      </w:r>
      <w:r>
        <w:t xml:space="preserve"> </w:t>
      </w:r>
      <w:r>
        <w:t xml:space="preserve">production frame):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Protein RMSD (A)</w:t>
            </w:r>
          </w:p>
        </w:tc>
        <w:tc>
          <w:tcPr/>
          <w:p>
            <w:pPr>
              <w:pStyle w:val="Compact"/>
            </w:pPr>
            <w:r>
              <w:t xml:space="preserve">Ligand RMSD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TTBK1 (4NFM)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 (2V5Z)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</w:tbl>
    <w:p>
      <w:pPr>
        <w:pStyle w:val="BodyText"/>
      </w:pPr>
      <w:r>
        <w:t xml:space="preserve">The lead is more mobile within the TTBK1 ATP pocket (1.52 A, reflecting early</w:t>
      </w:r>
      <w:r>
        <w:t xml:space="preserve"> </w:t>
      </w:r>
      <w:r>
        <w:t xml:space="preserve">repositioning from the docked pose) than in the MAO-B cavity (0.68 A), consistent with</w:t>
      </w:r>
      <w:r>
        <w:t xml:space="preserve"> </w:t>
      </w:r>
      <w:r>
        <w:t xml:space="preserve">the shallower, more solvent-exposed kinase hinge region versus the enclosed MAO-B substrate</w:t>
      </w:r>
      <w:r>
        <w:t xml:space="preserve"> </w:t>
      </w:r>
      <w:r>
        <w:t xml:space="preserve">cage. Neither ligand dissociated or left its pocket.</w:t>
      </w:r>
    </w:p>
    <w:p>
      <w:pPr>
        <w:pStyle w:val="BodyText"/>
      </w:pPr>
      <w:r>
        <w:t xml:space="preserve">Hydrogen-bond occupancies are low at both targets, indicating predominantly hydrophobic</w:t>
      </w:r>
      <w:r>
        <w:t xml:space="preserve"> </w:t>
      </w:r>
      <w:r>
        <w:t xml:space="preserve">and van der Waals-driven binding rather than a persistent hydrogen-bond network. The</w:t>
      </w:r>
      <w:r>
        <w:t xml:space="preserve"> </w:t>
      </w:r>
      <w:r>
        <w:t xml:space="preserve">highest-occupancy contacts are GLN89 at TTBK1 (18.5% for the ligand O4 -&gt; GLN89 backbone</w:t>
      </w:r>
      <w:r>
        <w:t xml:space="preserve"> </w:t>
      </w:r>
      <w:r>
        <w:t xml:space="preserve">carbonyl; 7.3% and 6.2% for GLN89 backbone amide to ligand O3/O4) and TYR433 at MAO-B</w:t>
      </w:r>
      <w:r>
        <w:t xml:space="preserve"> </w:t>
      </w:r>
      <w:r>
        <w:t xml:space="preserve">(6.6% for TYR433 hydroxyl -&gt; ligand O3).</w:t>
      </w:r>
    </w:p>
    <w:p>
      <w:pPr>
        <w:pStyle w:val="CaptionedFigure"/>
      </w:pPr>
      <w:r>
        <w:drawing>
          <wp:inline>
            <wp:extent cx="5334000" cy="3806911"/>
            <wp:effectExtent b="0" l="0" r="0" t="0"/>
            <wp:docPr descr="Protein and ligand RMSD and per-residue RMSF over 20 ns for both complexes." title="" id="37" name="Picture"/>
            <a:graphic>
              <a:graphicData uri="http://schemas.openxmlformats.org/drawingml/2006/picture">
                <pic:pic>
                  <pic:nvPicPr>
                    <pic:cNvPr descr="figs/md_trajectory_analysi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Protein and ligand RMSD and per-residue RMSF over 20 ns for both complexes.</w:t>
      </w:r>
    </w:p>
    <w:bookmarkEnd w:id="39"/>
    <w:bookmarkStart w:id="43" w:name="X356513130d34b595fe5c1c4bb43a9fc39e4efc2"/>
    <w:p>
      <w:pPr>
        <w:pStyle w:val="Heading2"/>
      </w:pPr>
      <w:r>
        <w:t xml:space="preserve">3.6 MM-GBSA confirms engagement of both targets and prefers MAO-B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(kcal/mol)</w:t>
            </w:r>
          </w:p>
        </w:tc>
        <w:tc>
          <w:tcPr/>
          <w:p>
            <w:pPr>
              <w:pStyle w:val="Compact"/>
            </w:pPr>
            <w:r>
              <w:t xml:space="preserve">TTBK1 (4NFM)</w:t>
            </w:r>
          </w:p>
        </w:tc>
        <w:tc>
          <w:tcPr/>
          <w:p>
            <w:pPr>
              <w:pStyle w:val="Compact"/>
            </w:pPr>
            <w:r>
              <w:t xml:space="preserve">MAO-B (2V5Z)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der Waals</w:t>
            </w:r>
          </w:p>
        </w:tc>
        <w:tc>
          <w:tcPr/>
          <w:p>
            <w:pPr>
              <w:pStyle w:val="Compact"/>
            </w:pPr>
            <w:r>
              <w:t xml:space="preserve">-32.89</w:t>
            </w:r>
          </w:p>
        </w:tc>
        <w:tc>
          <w:tcPr/>
          <w:p>
            <w:pPr>
              <w:pStyle w:val="Compact"/>
            </w:pPr>
            <w:r>
              <w:t xml:space="preserve">-44.87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Electrostatic</w:t>
            </w:r>
          </w:p>
        </w:tc>
        <w:tc>
          <w:tcPr/>
          <w:p>
            <w:pPr>
              <w:pStyle w:val="Compact"/>
            </w:pPr>
            <w:r>
              <w:t xml:space="preserve">-7.99</w:t>
            </w:r>
          </w:p>
        </w:tc>
        <w:tc>
          <w:tcPr/>
          <w:p>
            <w:pPr>
              <w:pStyle w:val="Compact"/>
            </w:pPr>
            <w:r>
              <w:t xml:space="preserve">-3.48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solvation</w:t>
            </w:r>
          </w:p>
        </w:tc>
        <w:tc>
          <w:tcPr/>
          <w:p>
            <w:pPr>
              <w:pStyle w:val="Compact"/>
            </w:pPr>
            <w:r>
              <w:t xml:space="preserve">+19.37</w:t>
            </w:r>
          </w:p>
        </w:tc>
        <w:tc>
          <w:tcPr/>
          <w:p>
            <w:pPr>
              <w:pStyle w:val="Compact"/>
            </w:pPr>
            <w:r>
              <w:t xml:space="preserve">+17.28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Nonpolar surface</w:t>
            </w:r>
          </w:p>
        </w:tc>
        <w:tc>
          <w:tcPr/>
          <w:p>
            <w:pPr>
              <w:pStyle w:val="Compact"/>
            </w:pPr>
            <w:r>
              <w:t xml:space="preserve">-4.81</w:t>
            </w:r>
          </w:p>
        </w:tc>
        <w:tc>
          <w:tcPr/>
          <w:p>
            <w:pPr>
              <w:pStyle w:val="Compact"/>
            </w:pPr>
            <w:r>
              <w:t xml:space="preserve">-5.78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dG (mean +/- SEM)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-26.32 +/- 0.53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-36.85 +/- 0.23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dG SD across frames</w:t>
            </w:r>
          </w:p>
        </w:tc>
        <w:tc>
          <w:tcPr/>
          <w:p>
            <w:pPr>
              <w:pStyle w:val="Compact"/>
            </w:pPr>
            <w:r>
              <w:t xml:space="preserve">5.33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</w:tr>
    </w:tbl>
    <w:p>
      <w:pPr>
        <w:pStyle w:val="BodyText"/>
      </w:pPr>
      <w:r>
        <w:t xml:space="preserve">Both are favorable. MAO-B is preferred by -10.5 kcal/mol, the</w:t>
      </w:r>
      <w:r>
        <w:t xml:space="preserve"> </w:t>
      </w:r>
      <w:r>
        <w:t xml:space="preserve">same direction as the docking comparison (-3.5</w:t>
      </w:r>
      <w:r>
        <w:t xml:space="preserve"> </w:t>
      </w:r>
      <w:r>
        <w:t xml:space="preserve">kcal/mol), giving cross-method agreement on the on-target preference even though the</w:t>
      </w:r>
      <w:r>
        <w:t xml:space="preserve"> </w:t>
      </w:r>
      <w:r>
        <w:t xml:space="preserve">absolute scales are not comparable. The difference is driven by van der Waals contact</w:t>
      </w:r>
      <w:r>
        <w:t xml:space="preserve"> </w:t>
      </w:r>
      <w:r>
        <w:t xml:space="preserve">(-44.9 vs. -32.9 kcal/mol), consistent with the enclosing MAO-B cavity versus</w:t>
      </w:r>
      <w:r>
        <w:t xml:space="preserve"> </w:t>
      </w:r>
      <w:r>
        <w:t xml:space="preserve">the shallower kinase hinge. The frame-to-frame SD is also more than twice as large at TTBK1</w:t>
      </w:r>
      <w:r>
        <w:t xml:space="preserve"> </w:t>
      </w:r>
      <w:r>
        <w:t xml:space="preserve">(5.3 vs. 2.3 kcal/mol), matching the higher ligand RMSD</w:t>
      </w:r>
      <w:r>
        <w:t xml:space="preserve"> </w:t>
      </w:r>
      <w:r>
        <w:t xml:space="preserve">there — the lead samples a broader range of binding geometries in the kinase pocket.</w:t>
      </w:r>
    </w:p>
    <w:p>
      <w:pPr>
        <w:pStyle w:val="CaptionedFigure"/>
      </w:pPr>
      <w:r>
        <w:drawing>
          <wp:inline>
            <wp:extent cx="5334000" cy="2439408"/>
            <wp:effectExtent b="0" l="0" r="0" t="0"/>
            <wp:docPr descr="MM-GBSA total binding free energy and per-component decomposition for both targets." title="" id="41" name="Picture"/>
            <a:graphic>
              <a:graphicData uri="http://schemas.openxmlformats.org/drawingml/2006/picture">
                <pic:pic>
                  <pic:nvPicPr>
                    <pic:cNvPr descr="figs/mmgbsa_comparis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MM-GBSA total binding free energy and per-component decomposition for both targets.</w:t>
      </w:r>
    </w:p>
    <w:bookmarkEnd w:id="43"/>
    <w:bookmarkStart w:id="47" w:name="X7530d5297aef517019311caa6bd1d9cae68bf0a"/>
    <w:p>
      <w:pPr>
        <w:pStyle w:val="Heading2"/>
      </w:pPr>
      <w:r>
        <w:t xml:space="preserve">3.7 The series does not discriminate either target from its paralog/isoform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Margin (kcal/mol)</w:t>
            </w:r>
          </w:p>
        </w:tc>
        <w:tc>
          <w:tcPr/>
          <w:p>
            <w:pPr>
              <w:pStyle w:val="Compact"/>
            </w:pPr>
            <w:r>
              <w:t xml:space="preserve">Favorable?</w:t>
            </w:r>
          </w:p>
        </w:tc>
        <w:tc>
          <w:tcPr/>
          <w:p>
            <w:pPr>
              <w:pStyle w:val="Compact"/>
            </w:pPr>
            <w:r>
              <w:t xml:space="preserve">Shortlist-wide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TTBK1 vs. TTBK2 (6U0K)</w:t>
            </w:r>
          </w:p>
        </w:tc>
        <w:tc>
          <w:tcPr/>
          <w:p>
            <w:pPr>
              <w:pStyle w:val="Compact"/>
            </w:pPr>
            <w:r>
              <w:t xml:space="preserve">+1.71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0/15 favorable; mean +1.92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TTBK1 vs. TTBK2 (7Q8Y)</w:t>
            </w:r>
          </w:p>
        </w:tc>
        <w:tc>
          <w:tcPr/>
          <w:p>
            <w:pPr>
              <w:pStyle w:val="Compact"/>
            </w:pPr>
            <w:r>
              <w:t xml:space="preserve">+2.23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0/15 favorable; mean +2.27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 vs. MAO-A</w:t>
            </w:r>
          </w:p>
        </w:tc>
        <w:tc>
          <w:tcPr/>
          <w:p>
            <w:pPr>
              <w:pStyle w:val="Compact"/>
            </w:pPr>
            <w:r>
              <w:t xml:space="preserve">+0.09</w:t>
            </w:r>
          </w:p>
        </w:tc>
        <w:tc>
          <w:tcPr/>
          <w:p>
            <w:pPr>
              <w:pStyle w:val="Compact"/>
            </w:pPr>
            <w:r>
              <w:t xml:space="preserve">no (no separation)</w:t>
            </w:r>
          </w:p>
        </w:tc>
        <w:tc>
          <w:tcPr/>
          <w:p>
            <w:pPr>
              <w:pStyle w:val="Compact"/>
            </w:pPr>
            <w:r>
              <w:t xml:space="preserve">2/15 favorable; mean +0.45</w:t>
            </w:r>
          </w:p>
        </w:tc>
      </w:tr>
    </w:tbl>
    <w:p>
      <w:pPr>
        <w:pStyle w:val="BodyText"/>
      </w:pPr>
      <w:r>
        <w:t xml:space="preserve">Every candidate in the shortlist is predicted to bind TTBK2 more strongly than TTBK1, by</w:t>
      </w:r>
      <w:r>
        <w:t xml:space="preserve"> </w:t>
      </w:r>
      <w:r>
        <w:t xml:space="preserve">1.5-2.7 kcal/mol. This is expected rather than surprising: TTBK1 and TTBK2 share a</w:t>
      </w:r>
      <w:r>
        <w:t xml:space="preserve"> </w:t>
      </w:r>
      <w:r>
        <w:t xml:space="preserve">near-identical ATP-binding kinase fold — which is precisely why the 7Q8Y grid box could be</w:t>
      </w:r>
      <w:r>
        <w:t xml:space="preserve"> </w:t>
      </w:r>
      <w:r>
        <w:t xml:space="preserve">transferred onto 4NFM by superposition — and a flavonoid occupying the conserved hinge</w:t>
      </w:r>
      <w:r>
        <w:t xml:space="preserve"> </w:t>
      </w:r>
      <w:r>
        <w:t xml:space="preserve">region has little to discriminate on. The MAO-B/MAO-A result is likewise consistent with</w:t>
      </w:r>
      <w:r>
        <w:t xml:space="preserve"> </w:t>
      </w:r>
      <w:r>
        <w:t xml:space="preserve">the well-documented difficulty of achieving MAO-B-selective inhibition with planar</w:t>
      </w:r>
      <w:r>
        <w:t xml:space="preserve"> </w:t>
      </w:r>
      <w:r>
        <w:t xml:space="preserve">polyphenolic scaffolds, given the two isoforms’ highly homologous active sites.</w:t>
      </w:r>
    </w:p>
    <w:p>
      <w:pPr>
        <w:pStyle w:val="BodyText"/>
      </w:pPr>
      <w:r>
        <w:rPr>
          <w:b/>
          <w:bCs/>
        </w:rPr>
        <w:t xml:space="preserve">These margins carry an important caveat: none of the three anti-target receptors carries</w:t>
      </w:r>
      <w:r>
        <w:rPr>
          <w:b/>
          <w:bCs/>
        </w:rPr>
        <w:t xml:space="preserve"> </w:t>
      </w:r>
      <w:r>
        <w:rPr>
          <w:b/>
          <w:bCs/>
        </w:rPr>
        <w:t xml:space="preserve">a passing redocking validation</w:t>
      </w:r>
      <w:r>
        <w:t xml:space="preserve"> </w:t>
      </w:r>
      <w:r>
        <w:t xml:space="preserve">(7Q8Y failed at 5.29 A; 6U0K and 2Z5X were never</w:t>
      </w:r>
      <w:r>
        <w:t xml:space="preserve"> </w:t>
      </w:r>
      <w:r>
        <w:t xml:space="preserve">validated, and 2Z5X required a custom FAD transplant from the 2V5Z template). The margins</w:t>
      </w:r>
      <w:r>
        <w:t xml:space="preserve"> </w:t>
      </w:r>
      <w:r>
        <w:t xml:space="preserve">should be read as directional signal, not validated affinity predictions. That said, the</w:t>
      </w:r>
      <w:r>
        <w:t xml:space="preserve"> </w:t>
      </w:r>
      <w:r>
        <w:t xml:space="preserve">signal points uniformly in the unfavorable direction across 15 candidates and three</w:t>
      </w:r>
      <w:r>
        <w:t xml:space="preserve"> </w:t>
      </w:r>
      <w:r>
        <w:t xml:space="preserve">receptors, which is harder to attribute to receptor-preparation error than a marginal</w:t>
      </w:r>
      <w:r>
        <w:t xml:space="preserve"> </w:t>
      </w:r>
      <w:r>
        <w:t xml:space="preserve">result would be.</w:t>
      </w:r>
    </w:p>
    <w:p>
      <w:pPr>
        <w:pStyle w:val="CaptionedFigure"/>
      </w:pPr>
      <w:r>
        <w:drawing>
          <wp:inline>
            <wp:extent cx="5334000" cy="2360862"/>
            <wp:effectExtent b="0" l="0" r="0" t="0"/>
            <wp:docPr descr="On-target versus anti-target docking, and cross-method on-target confirmation." title="" id="45" name="Picture"/>
            <a:graphic>
              <a:graphicData uri="http://schemas.openxmlformats.org/drawingml/2006/picture">
                <pic:pic>
                  <pic:nvPicPr>
                    <pic:cNvPr descr="figs/selectivity_triangul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On-target versus anti-target docking, and cross-method on-target confirmation.</w:t>
      </w:r>
    </w:p>
    <w:bookmarkEnd w:id="47"/>
    <w:bookmarkEnd w:id="48"/>
    <w:bookmarkStart w:id="54" w:name="discussion"/>
    <w:p>
      <w:pPr>
        <w:pStyle w:val="Heading1"/>
      </w:pPr>
      <w:r>
        <w:t xml:space="preserve">4. Discussion</w:t>
      </w:r>
    </w:p>
    <w:bookmarkStart w:id="49" w:name="what-this-study-establishes"/>
    <w:p>
      <w:pPr>
        <w:pStyle w:val="Heading2"/>
      </w:pPr>
      <w:r>
        <w:t xml:space="preserve">4.1 What this study establishes</w:t>
      </w:r>
    </w:p>
    <w:p>
      <w:pPr>
        <w:pStyle w:val="FirstParagraph"/>
      </w:pPr>
      <w:r>
        <w:t xml:space="preserve">The lead 7-deoxyflavonol engages both TTBK1 and MAO-B, and this conclusion rests on two</w:t>
      </w:r>
      <w:r>
        <w:t xml:space="preserve"> </w:t>
      </w:r>
      <w:r>
        <w:t xml:space="preserve">methodologically independent lines of evidence rather than one: consensus docking with two</w:t>
      </w:r>
      <w:r>
        <w:t xml:space="preserve"> </w:t>
      </w:r>
      <w:r>
        <w:t xml:space="preserve">distinct scoring functions, and 20 ns MD with MM-GBSA free energies. Both agree on the</w:t>
      </w:r>
      <w:r>
        <w:t xml:space="preserve"> </w:t>
      </w:r>
      <w:r>
        <w:t xml:space="preserve">direction of on-target preference (MAO-B &gt; TTBK1). Cross-method agreement of this kind is</w:t>
      </w:r>
      <w:r>
        <w:t xml:space="preserve"> </w:t>
      </w:r>
      <w:r>
        <w:t xml:space="preserve">the minimum standard for a docking-derived claim, and most published virtual-screening</w:t>
      </w:r>
      <w:r>
        <w:t xml:space="preserve"> </w:t>
      </w:r>
      <w:r>
        <w:t xml:space="preserve">reports of natural-product MTDLs do not meet it.</w:t>
      </w:r>
    </w:p>
    <w:p>
      <w:pPr>
        <w:pStyle w:val="BodyText"/>
      </w:pPr>
      <w:r>
        <w:t xml:space="preserve">Two negative results are as informative as the positive one, and both are reported at</w:t>
      </w:r>
      <w:r>
        <w:t xml:space="preserve"> </w:t>
      </w:r>
      <w:r>
        <w:t xml:space="preserve">equal weight. The scaffold-level BBB ceiling (Section 3.1) is a hard structural constraint</w:t>
      </w:r>
      <w:r>
        <w:t xml:space="preserve"> </w:t>
      </w:r>
      <w:r>
        <w:t xml:space="preserve">on the entire flavonol class for CNS targets: it cannot be optimized away by decoration,</w:t>
      </w:r>
      <w:r>
        <w:t xml:space="preserve"> </w:t>
      </w:r>
      <w:r>
        <w:t xml:space="preserve">only by removing a core oxygen. Any CNS-directed flavonoid design campaign that reports BBB</w:t>
      </w:r>
      <w:r>
        <w:t xml:space="preserve"> </w:t>
      </w:r>
      <w:r>
        <w:t xml:space="preserve">permeability without confronting the TPSA floor of the native scaffold should be read</w:t>
      </w:r>
      <w:r>
        <w:t xml:space="preserve"> </w:t>
      </w:r>
      <w:r>
        <w:t xml:space="preserve">skeptically. Separately, the Vinardo cross-check (Section 3.3) shows that the fine-grained</w:t>
      </w:r>
      <w:r>
        <w:t xml:space="preserve"> </w:t>
      </w:r>
      <w:r>
        <w:t xml:space="preserve">docking rank order within an already narrow high-scoring slice of chemical space is not</w:t>
      </w:r>
      <w:r>
        <w:t xml:space="preserve"> </w:t>
      </w:r>
      <w:r>
        <w:t xml:space="preserve">robust to scoring-function choice — negatively correlated at MAO-B. Reporting a</w:t>
      </w:r>
      <w:r>
        <w:t xml:space="preserve"> </w:t>
      </w:r>
      <w:r>
        <w:t xml:space="preserve">“top hit”</w:t>
      </w:r>
      <w:r>
        <w:t xml:space="preserve"> </w:t>
      </w:r>
      <w:r>
        <w:t xml:space="preserve">from single-scoring-function virtual screening without such a check risks selecting on</w:t>
      </w:r>
      <w:r>
        <w:t xml:space="preserve"> </w:t>
      </w:r>
      <w:r>
        <w:t xml:space="preserve">scoring-function idiosyncrasy.</w:t>
      </w:r>
    </w:p>
    <w:bookmarkEnd w:id="49"/>
    <w:bookmarkStart w:id="50" w:name="X77a660d662a33bd585af72eb9f5f6a7705d0a3d"/>
    <w:p>
      <w:pPr>
        <w:pStyle w:val="Heading2"/>
      </w:pPr>
      <w:r>
        <w:t xml:space="preserve">4.2 The selectivity liability is the dominant risk</w:t>
      </w:r>
    </w:p>
    <w:p>
      <w:pPr>
        <w:pStyle w:val="FirstParagraph"/>
      </w:pPr>
      <w:r>
        <w:t xml:space="preserve">The pipeline’s own counter-screen contradicts a selective-dual-target interpretation. The</w:t>
      </w:r>
      <w:r>
        <w:t xml:space="preserve"> </w:t>
      </w:r>
      <w:r>
        <w:t xml:space="preserve">honest reading is that this series is a</w:t>
      </w:r>
      <w:r>
        <w:t xml:space="preserve"> </w:t>
      </w:r>
      <w:r>
        <w:rPr>
          <w:b/>
          <w:bCs/>
        </w:rPr>
        <w:t xml:space="preserve">dual on-target engager with unresolved isoform</w:t>
      </w:r>
      <w:r>
        <w:rPr>
          <w:b/>
          <w:bCs/>
        </w:rPr>
        <w:t xml:space="preserve"> </w:t>
      </w:r>
      <w:r>
        <w:rPr>
          <w:b/>
          <w:bCs/>
        </w:rPr>
        <w:t xml:space="preserve">selectivity</w:t>
      </w:r>
      <w:r>
        <w:t xml:space="preserve">, not a selective dual-target lead. This distinction matters</w:t>
      </w:r>
      <w:r>
        <w:t xml:space="preserve"> </w:t>
      </w:r>
      <w:r>
        <w:t xml:space="preserve">pharmacologically: MAO-A inhibition without MAO-B selectivity raises the tyramine</w:t>
      </w:r>
      <w:r>
        <w:t xml:space="preserve"> </w:t>
      </w:r>
      <w:r>
        <w:t xml:space="preserve">pressor (</w:t>
      </w:r>
      <w:r>
        <w:t xml:space="preserve">“cheese effect”</w:t>
      </w:r>
      <w:r>
        <w:t xml:space="preserve">) liability that isoform-selective MAO-B inhibitors were developed</w:t>
      </w:r>
      <w:r>
        <w:t xml:space="preserve"> </w:t>
      </w:r>
      <w:r>
        <w:t xml:space="preserve">to avoid, and pan-TTBK activity would engage TTBK2, whose loss-of-function causes</w:t>
      </w:r>
      <w:r>
        <w:t xml:space="preserve"> </w:t>
      </w:r>
      <w:r>
        <w:t xml:space="preserve">spinocerebellar ataxia type 11, making unintended TTBK2 inhibition a specific safety</w:t>
      </w:r>
      <w:r>
        <w:t xml:space="preserve"> </w:t>
      </w:r>
      <w:r>
        <w:t xml:space="preserve">concern rather than a generic off-target note.</w:t>
      </w:r>
    </w:p>
    <w:bookmarkEnd w:id="50"/>
    <w:bookmarkStart w:id="51" w:name="X23530ff81e387c84cc0f32da61be94fc534b1bc"/>
    <w:p>
      <w:pPr>
        <w:pStyle w:val="Heading2"/>
      </w:pPr>
      <w:r>
        <w:t xml:space="preserve">4.3 The dual-target rationale itself remains a hypothesis</w:t>
      </w:r>
    </w:p>
    <w:p>
      <w:pPr>
        <w:pStyle w:val="FirstParagraph"/>
      </w:pPr>
      <w:r>
        <w:t xml:space="preserve">No literature was found proposing or validating TTBK1 + MAO-B as a coherent dual-target</w:t>
      </w:r>
      <w:r>
        <w:t xml:space="preserve"> </w:t>
      </w:r>
      <w:r>
        <w:t xml:space="preserve">strategy. The two targets belong to different disease-mechanism families. A compound that</w:t>
      </w:r>
      <w:r>
        <w:t xml:space="preserve"> </w:t>
      </w:r>
      <w:r>
        <w:t xml:space="preserve">engages both would need a therapeutic context in which simultaneous tau-kinase and</w:t>
      </w:r>
      <w:r>
        <w:t xml:space="preserve"> </w:t>
      </w:r>
      <w:r>
        <w:t xml:space="preserve">MAO-B inhibition is desirable — plausible in principle for mixed-pathology</w:t>
      </w:r>
      <w:r>
        <w:t xml:space="preserve"> </w:t>
      </w:r>
      <w:r>
        <w:t xml:space="preserve">neurodegeneration, but not demonstrated. Readers should treat the dual-target framing as</w:t>
      </w:r>
      <w:r>
        <w:t xml:space="preserve"> </w:t>
      </w:r>
      <w:r>
        <w:t xml:space="preserve">the study’s hypothesis, not its finding.</w:t>
      </w:r>
    </w:p>
    <w:bookmarkEnd w:id="51"/>
    <w:bookmarkStart w:id="52" w:name="limitations"/>
    <w:p>
      <w:pPr>
        <w:pStyle w:val="Heading2"/>
      </w:pPr>
      <w:r>
        <w:t xml:space="preserve">4.4 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experimental validation.</w:t>
      </w:r>
      <w:r>
        <w:t xml:space="preserve"> </w:t>
      </w:r>
      <w:r>
        <w:t xml:space="preserve">Every affinity reported is computed. No compound was</w:t>
      </w:r>
      <w:r>
        <w:t xml:space="preserve"> </w:t>
      </w:r>
      <w:r>
        <w:t xml:space="preserve">synthesized, and no biochemical or cellular assay was performed.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TTBK1’s receptor is apo and unvalidatable.</w:t>
      </w:r>
      <w:r>
        <w:t xml:space="preserve"> </w:t>
      </w:r>
      <w:r>
        <w:t xml:space="preserve">4NFM has no co-crystal ligand, so the</w:t>
      </w:r>
      <w:r>
        <w:t xml:space="preserve"> </w:t>
      </w:r>
      <w:r>
        <w:t xml:space="preserve">docking protocol could not be validated on the actual on-target; the box was transferred</w:t>
      </w:r>
      <w:r>
        <w:t xml:space="preserve"> </w:t>
      </w:r>
      <w:r>
        <w:t xml:space="preserve">from a TTBK2 structure that itself failed redocking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anti-target receptor passed validation.</w:t>
      </w:r>
      <w:r>
        <w:t xml:space="preserve"> </w:t>
      </w:r>
      <w:r>
        <w:t xml:space="preserve">All selectivity margins inherit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MM-GBSA is relative, not absolute.</w:t>
      </w:r>
      <w:r>
        <w:t xml:space="preserve"> </w:t>
      </w:r>
      <w:r>
        <w:t xml:space="preserve">Single-trajectory mode omits conformational</w:t>
      </w:r>
      <w:r>
        <w:t xml:space="preserve"> </w:t>
      </w:r>
      <w:r>
        <w:t xml:space="preserve">entropy and receptor reorganization and overestimates binding magnitudes; the values</w:t>
      </w:r>
      <w:r>
        <w:t xml:space="preserve"> </w:t>
      </w:r>
      <w:r>
        <w:t xml:space="preserve">support the TTBK1-vs-MAO-B comparison, not affinity prediction.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20 ns replicate, single candidate.</w:t>
      </w:r>
      <w:r>
        <w:t xml:space="preserve"> </w:t>
      </w:r>
      <w:r>
        <w:t xml:space="preserve">No replicate MD, no MD on anti-targets, no</w:t>
      </w:r>
      <w:r>
        <w:t xml:space="preserve"> </w:t>
      </w:r>
      <w:r>
        <w:t xml:space="preserve">MD on the other shortlisted candidates — a consequence of the 6 GB single-GPU budget.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BBB assessment is a 2D property model.</w:t>
      </w:r>
      <w:r>
        <w:t xml:space="preserve"> </w:t>
      </w:r>
      <w:r>
        <w:t xml:space="preserve">BOILED-Egg uses WLOGP/TPSA and does not model</w:t>
      </w:r>
      <w:r>
        <w:t xml:space="preserve"> </w:t>
      </w:r>
      <w:r>
        <w:t xml:space="preserve">efflux transporters (notably P-glycoprotein), to which flavonoids are known substrates.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Literature quantification is PubMed-only</w:t>
      </w:r>
      <w:r>
        <w:t xml:space="preserve"> </w:t>
      </w:r>
      <w:r>
        <w:t xml:space="preserve">(as queried 2026-08-17) and used name-string</w:t>
      </w:r>
      <w:r>
        <w:t xml:space="preserve"> </w:t>
      </w:r>
      <w:r>
        <w:t xml:space="preserve">counts; OpenAlex was unavailable and IMPPAT was not queried, so compound provenance rests</w:t>
      </w:r>
      <w:r>
        <w:t xml:space="preserve"> </w:t>
      </w:r>
      <w:r>
        <w:t xml:space="preserve">on primary-abstract cross-referencing against PubChem rather than a curated phytochemical</w:t>
      </w:r>
      <w:r>
        <w:t xml:space="preserve"> </w:t>
      </w:r>
      <w:r>
        <w:t xml:space="preserve">database.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brief-supplied citation was mis-attributed</w:t>
      </w:r>
      <w:r>
        <w:t xml:space="preserve"> </w:t>
      </w:r>
      <w:r>
        <w:t xml:space="preserve">and is corrected here: the reference</w:t>
      </w:r>
      <w:r>
        <w:t xml:space="preserve"> </w:t>
      </w:r>
      <w:r>
        <w:t xml:space="preserve">given as</w:t>
      </w:r>
      <w:r>
        <w:t xml:space="preserve"> </w:t>
      </w:r>
      <w:r>
        <w:t xml:space="preserve">“Sharma 2020,</w:t>
      </w:r>
      <w:r>
        <w:t xml:space="preserve"> </w:t>
      </w:r>
      <w:r>
        <w:rPr>
          <w:i/>
          <w:iCs/>
        </w:rPr>
        <w:t xml:space="preserve">Molecules</w:t>
      </w:r>
      <w:r>
        <w:t xml:space="preserve">”</w:t>
      </w:r>
      <w:r>
        <w:t xml:space="preserve"> </w:t>
      </w:r>
      <w:r>
        <w:t xml:space="preserve">resolves by journal/volume/pages/topic to</w:t>
      </w:r>
      <w:r>
        <w:t xml:space="preserve"> </w:t>
      </w:r>
      <w:r>
        <w:t xml:space="preserve">Chaurasiya et al. 2020,</w:t>
      </w:r>
      <w:r>
        <w:t xml:space="preserve"> </w:t>
      </w:r>
      <w:r>
        <w:rPr>
          <w:i/>
          <w:iCs/>
        </w:rPr>
        <w:t xml:space="preserve">Molecules</w:t>
      </w:r>
      <w:r>
        <w:t xml:space="preserve"> </w:t>
      </w:r>
      <w:r>
        <w:t xml:space="preserve">25:5358.</w:t>
      </w:r>
    </w:p>
    <w:bookmarkEnd w:id="52"/>
    <w:bookmarkStart w:id="53" w:name="next-steps"/>
    <w:p>
      <w:pPr>
        <w:pStyle w:val="Heading2"/>
      </w:pPr>
      <w:r>
        <w:t xml:space="preserve">4.5 Next steps</w:t>
      </w:r>
    </w:p>
    <w:p>
      <w:pPr>
        <w:pStyle w:val="FirstParagraph"/>
      </w:pPr>
      <w:r>
        <w:t xml:space="preserve">The decisive next computational step is extending MM-GBSA to TTBK2 and MAO-A complexes,</w:t>
      </w:r>
      <w:r>
        <w:t xml:space="preserve"> </w:t>
      </w:r>
      <w:r>
        <w:t xml:space="preserve">which would test whether the unfavorable docking-derived selectivity margins survive a</w:t>
      </w:r>
      <w:r>
        <w:t xml:space="preserve"> </w:t>
      </w:r>
      <w:r>
        <w:t xml:space="preserve">higher level of theory — the one place where the current evidence is weakest and where the</w:t>
      </w:r>
      <w:r>
        <w:t xml:space="preserve"> </w:t>
      </w:r>
      <w:r>
        <w:t xml:space="preserve">anti-target receptors’ lack of validation matters most. Replicate MD on the lead, and MD on</w:t>
      </w:r>
      <w:r>
        <w:t xml:space="preserve"> </w:t>
      </w:r>
      <w:r>
        <w:t xml:space="preserve">the two benzyl/methyl regioisomers, would establish whether the on-target result is</w:t>
      </w:r>
      <w:r>
        <w:t xml:space="preserve"> </w:t>
      </w:r>
      <w:r>
        <w:t xml:space="preserve">candidate-specific or a scaffold property. Experimentally, the informative first assay is</w:t>
      </w:r>
      <w:r>
        <w:t xml:space="preserve"> </w:t>
      </w:r>
      <w:r>
        <w:t xml:space="preserve">not a single-target potency measurement but a side-by-side isoform panel: MAO-A/MAO-B and</w:t>
      </w:r>
      <w:r>
        <w:t xml:space="preserve"> </w:t>
      </w:r>
      <w:r>
        <w:t xml:space="preserve">TTBK1/TTBK2 in parallel, since selectivity and not potency is the open question.</w:t>
      </w:r>
    </w:p>
    <w:bookmarkEnd w:id="53"/>
    <w:bookmarkEnd w:id="54"/>
    <w:bookmarkStart w:id="55" w:name="conclusions"/>
    <w:p>
      <w:pPr>
        <w:pStyle w:val="Heading1"/>
      </w:pPr>
      <w:r>
        <w:t xml:space="preserve">5. Conclusions</w:t>
      </w:r>
    </w:p>
    <w:p>
      <w:pPr>
        <w:pStyle w:val="FirstParagraph"/>
      </w:pPr>
      <w:r>
        <w:t xml:space="preserve">A generative, BBB-constrained design campaign on a deoxygenated flavonol core produced a</w:t>
      </w:r>
      <w:r>
        <w:t xml:space="preserve"> </w:t>
      </w:r>
      <w:r>
        <w:t xml:space="preserve">4-trifluoromethyl/methyl-substituted 7-deoxyflavonol that engages both TTBK1 and MAO-B by</w:t>
      </w:r>
      <w:r>
        <w:t xml:space="preserve"> </w:t>
      </w:r>
      <w:r>
        <w:t xml:space="preserve">two independent computational methods, with MAO-B the more robustly engaged target</w:t>
      </w:r>
      <w:r>
        <w:t xml:space="preserve"> </w:t>
      </w:r>
      <w:r>
        <w:t xml:space="preserve">(-36.8 vs. -26.3 kcal/mol by MM-GBSA). The same pipeline shows</w:t>
      </w:r>
      <w:r>
        <w:t xml:space="preserve"> </w:t>
      </w:r>
      <w:r>
        <w:t xml:space="preserve">that neither target is discriminated from its closest paralog or isoform. Two methodological</w:t>
      </w:r>
      <w:r>
        <w:t xml:space="preserve"> </w:t>
      </w:r>
      <w:r>
        <w:t xml:space="preserve">negative results — the flavonol scaffold’s absolute BBB ceiling and the failure of docking</w:t>
      </w:r>
      <w:r>
        <w:t xml:space="preserve"> </w:t>
      </w:r>
      <w:r>
        <w:t xml:space="preserve">rank order to survive a scoring-function change — are reported as primary findings. This</w:t>
      </w:r>
      <w:r>
        <w:t xml:space="preserve"> </w:t>
      </w:r>
      <w:r>
        <w:t xml:space="preserve">work is hypothesis-generating: it identifies a chemically tractable dual-engagement scaffold</w:t>
      </w:r>
      <w:r>
        <w:t xml:space="preserve"> </w:t>
      </w:r>
      <w:r>
        <w:t xml:space="preserve">and, equally, identifies isoform selectivity as the liability that any development of this</w:t>
      </w:r>
      <w:r>
        <w:t xml:space="preserve"> </w:t>
      </w:r>
      <w:r>
        <w:t xml:space="preserve">series must solve first.</w:t>
      </w:r>
    </w:p>
    <w:bookmarkEnd w:id="55"/>
    <w:bookmarkStart w:id="56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All intermediate and final data products are available as project artifacts, including the</w:t>
      </w:r>
      <w:r>
        <w:t xml:space="preserve"> </w:t>
      </w:r>
      <w:r>
        <w:t xml:space="preserve">flavonoid library with provenance and confidence tiers, the full generative-run output, the</w:t>
      </w:r>
      <w:r>
        <w:t xml:space="preserve"> </w:t>
      </w:r>
      <w:r>
        <w:t xml:space="preserve">filtering-cascade tables, consensus and Vinardo docking results for on- and anti-targets,</w:t>
      </w:r>
      <w:r>
        <w:t xml:space="preserve"> </w:t>
      </w:r>
      <w:r>
        <w:t xml:space="preserve">prepared receptor and ligand files, MD trajectory analyses, and raw MMPBSA.py output for</w:t>
      </w:r>
      <w:r>
        <w:t xml:space="preserve"> </w:t>
      </w:r>
      <w:r>
        <w:t xml:space="preserve">both systems.</w:t>
      </w:r>
    </w:p>
    <w:bookmarkEnd w:id="56"/>
    <w:bookmarkStart w:id="57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Halkina T, et al. Discovery of potent and brain-penetrant tau tubulin kinase 1 (TTBK1)</w:t>
      </w:r>
      <w:r>
        <w:t xml:space="preserve"> </w:t>
      </w:r>
      <w:r>
        <w:t xml:space="preserve">inhibitors that lower tau phosphorylation in vivo.</w:t>
      </w:r>
      <w:r>
        <w:t xml:space="preserve"> </w:t>
      </w:r>
      <w:r>
        <w:rPr>
          <w:i/>
          <w:iCs/>
        </w:rPr>
        <w:t xml:space="preserve">J Med Chem</w:t>
      </w:r>
      <w:r>
        <w:t xml:space="preserve">. 2021;64(9):6358-6380.</w:t>
      </w:r>
      <w:r>
        <w:t xml:space="preserve"> </w:t>
      </w:r>
      <w:r>
        <w:t xml:space="preserve">PMID 33944571.</w:t>
      </w:r>
    </w:p>
    <w:p>
      <w:pPr>
        <w:pStyle w:val="Compact"/>
        <w:numPr>
          <w:ilvl w:val="0"/>
          <w:numId w:val="1002"/>
        </w:numPr>
      </w:pPr>
      <w:r>
        <w:t xml:space="preserve">Binda C, et al. Structures of human monoamine oxidase B complexes with selective</w:t>
      </w:r>
      <w:r>
        <w:t xml:space="preserve"> </w:t>
      </w:r>
      <w:r>
        <w:t xml:space="preserve">noncovalent inhibitors: safinamide and coumarin analogs.</w:t>
      </w:r>
      <w:r>
        <w:t xml:space="preserve"> </w:t>
      </w:r>
      <w:r>
        <w:rPr>
          <w:i/>
          <w:iCs/>
        </w:rPr>
        <w:t xml:space="preserve">J Med Chem</w:t>
      </w:r>
      <w:r>
        <w:t xml:space="preserve">. 2007;50(23):</w:t>
      </w:r>
      <w:r>
        <w:t xml:space="preserve"> </w:t>
      </w:r>
      <w:r>
        <w:t xml:space="preserve">5848-5852. (PDB 2V5Z, 2V60.)</w:t>
      </w:r>
    </w:p>
    <w:p>
      <w:pPr>
        <w:pStyle w:val="Compact"/>
        <w:numPr>
          <w:ilvl w:val="0"/>
          <w:numId w:val="1002"/>
        </w:numPr>
      </w:pPr>
      <w:r>
        <w:t xml:space="preserve">Son SY, et al. Structure of human monoamine oxidase A at 2.2 A resolution: the control of</w:t>
      </w:r>
      <w:r>
        <w:t xml:space="preserve"> </w:t>
      </w:r>
      <w:r>
        <w:t xml:space="preserve">opening the entry for substrates/inhibitors.</w:t>
      </w:r>
      <w:r>
        <w:t xml:space="preserve"> </w:t>
      </w:r>
      <w:r>
        <w:rPr>
          <w:i/>
          <w:iCs/>
        </w:rPr>
        <w:t xml:space="preserve">Proc Natl Acad Sci USA</w:t>
      </w:r>
      <w:r>
        <w:t xml:space="preserve">. 2008;105:5739-5744.</w:t>
      </w:r>
      <w:r>
        <w:t xml:space="preserve"> </w:t>
      </w:r>
      <w:r>
        <w:t xml:space="preserve">(PDB 2Z5X.)</w:t>
      </w:r>
    </w:p>
    <w:p>
      <w:pPr>
        <w:pStyle w:val="Compact"/>
        <w:numPr>
          <w:ilvl w:val="0"/>
          <w:numId w:val="1002"/>
        </w:numPr>
      </w:pPr>
      <w:r>
        <w:t xml:space="preserve">Daina A, Zoete V. A BOILED-Egg to predict gastrointestinal absorption and brain</w:t>
      </w:r>
      <w:r>
        <w:t xml:space="preserve"> </w:t>
      </w:r>
      <w:r>
        <w:t xml:space="preserve">penetration of small molecules.</w:t>
      </w:r>
      <w:r>
        <w:t xml:space="preserve"> </w:t>
      </w:r>
      <w:r>
        <w:rPr>
          <w:i/>
          <w:iCs/>
        </w:rPr>
        <w:t xml:space="preserve">ChemMedChem</w:t>
      </w:r>
      <w:r>
        <w:t xml:space="preserve">. 2016;11(11):1117-1121.</w:t>
      </w:r>
    </w:p>
    <w:p>
      <w:pPr>
        <w:pStyle w:val="Compact"/>
        <w:numPr>
          <w:ilvl w:val="0"/>
          <w:numId w:val="1002"/>
        </w:numPr>
      </w:pPr>
      <w:r>
        <w:t xml:space="preserve">Quiroga R, Villarreal MA. Vinardo: a scoring function based on AutoDock Vina improves</w:t>
      </w:r>
      <w:r>
        <w:t xml:space="preserve"> </w:t>
      </w:r>
      <w:r>
        <w:t xml:space="preserve">scoring, docking, and virtual screening.</w:t>
      </w:r>
      <w:r>
        <w:t xml:space="preserve"> </w:t>
      </w:r>
      <w:r>
        <w:rPr>
          <w:i/>
          <w:iCs/>
        </w:rPr>
        <w:t xml:space="preserve">PLoS One</w:t>
      </w:r>
      <w:r>
        <w:t xml:space="preserve">. 2016;11(5):e0155183.</w:t>
      </w:r>
    </w:p>
    <w:p>
      <w:pPr>
        <w:pStyle w:val="Compact"/>
        <w:numPr>
          <w:ilvl w:val="0"/>
          <w:numId w:val="1002"/>
        </w:numPr>
      </w:pPr>
      <w:r>
        <w:t xml:space="preserve">Trott O, Olson AJ. AutoDock Vina: improving the speed and accuracy of docking with a new</w:t>
      </w:r>
      <w:r>
        <w:t xml:space="preserve"> </w:t>
      </w:r>
      <w:r>
        <w:t xml:space="preserve">scoring function, efficient optimization, and multithreading.</w:t>
      </w:r>
      <w:r>
        <w:t xml:space="preserve"> </w:t>
      </w:r>
      <w:r>
        <w:rPr>
          <w:i/>
          <w:iCs/>
        </w:rPr>
        <w:t xml:space="preserve">J Comput Chem</w:t>
      </w:r>
      <w:r>
        <w:t xml:space="preserve">.</w:t>
      </w:r>
      <w:r>
        <w:t xml:space="preserve"> </w:t>
      </w:r>
      <w:r>
        <w:t xml:space="preserve">2010;31(2):455-461.</w:t>
      </w:r>
    </w:p>
    <w:p>
      <w:pPr>
        <w:pStyle w:val="Compact"/>
        <w:numPr>
          <w:ilvl w:val="0"/>
          <w:numId w:val="1002"/>
        </w:numPr>
      </w:pPr>
      <w:r>
        <w:t xml:space="preserve">Loeffler HH, He J, Tibo A, et al. REINVENT 4: modern AI-driven generative molecule design.</w:t>
      </w:r>
      <w:r>
        <w:t xml:space="preserve"> </w:t>
      </w:r>
      <w:r>
        <w:rPr>
          <w:i/>
          <w:iCs/>
        </w:rPr>
        <w:t xml:space="preserve">J Cheminform</w:t>
      </w:r>
      <w:r>
        <w:t xml:space="preserve">. 2024;16:20.</w:t>
      </w:r>
    </w:p>
    <w:p>
      <w:pPr>
        <w:pStyle w:val="Compact"/>
        <w:numPr>
          <w:ilvl w:val="0"/>
          <w:numId w:val="1002"/>
        </w:numPr>
      </w:pPr>
      <w:r>
        <w:t xml:space="preserve">Miller BR III, McGee TD Jr, Swails JM, Homeyer N, Gohlke H, Roitberg AE. MMPBSA.py: an</w:t>
      </w:r>
      <w:r>
        <w:t xml:space="preserve"> </w:t>
      </w:r>
      <w:r>
        <w:t xml:space="preserve">efficient program for end-state free energy calculations.</w:t>
      </w:r>
      <w:r>
        <w:t xml:space="preserve"> </w:t>
      </w:r>
      <w:r>
        <w:rPr>
          <w:i/>
          <w:iCs/>
        </w:rPr>
        <w:t xml:space="preserve">J Chem Theory Comput</w:t>
      </w:r>
      <w:r>
        <w:t xml:space="preserve">.</w:t>
      </w:r>
      <w:r>
        <w:t xml:space="preserve"> </w:t>
      </w:r>
      <w:r>
        <w:t xml:space="preserve">2012;8(9):3314-3321.</w:t>
      </w:r>
    </w:p>
    <w:p>
      <w:pPr>
        <w:pStyle w:val="Compact"/>
        <w:numPr>
          <w:ilvl w:val="0"/>
          <w:numId w:val="1002"/>
        </w:numPr>
      </w:pPr>
      <w:r>
        <w:t xml:space="preserve">Eastman P, et al. OpenMM 7: rapid development of high performance algorithms for</w:t>
      </w:r>
      <w:r>
        <w:t xml:space="preserve"> </w:t>
      </w:r>
      <w:r>
        <w:t xml:space="preserve">molecular dynamics.</w:t>
      </w:r>
      <w:r>
        <w:t xml:space="preserve"> </w:t>
      </w:r>
      <w:r>
        <w:rPr>
          <w:i/>
          <w:iCs/>
        </w:rPr>
        <w:t xml:space="preserve">PLoS Comput Biol</w:t>
      </w:r>
      <w:r>
        <w:t xml:space="preserve">. 2017;13(7):e1005659.</w:t>
      </w:r>
    </w:p>
    <w:p>
      <w:pPr>
        <w:pStyle w:val="Compact"/>
        <w:numPr>
          <w:ilvl w:val="0"/>
          <w:numId w:val="1002"/>
        </w:numPr>
      </w:pPr>
      <w:r>
        <w:t xml:space="preserve">Michaud-Agrawal N, Denning EJ, Woolf TB, Beckstein O. MDAnalysis: a toolkit for the</w:t>
      </w:r>
      <w:r>
        <w:t xml:space="preserve"> </w:t>
      </w:r>
      <w:r>
        <w:t xml:space="preserve">analysis of molecular dynamics simulations.</w:t>
      </w:r>
      <w:r>
        <w:t xml:space="preserve"> </w:t>
      </w:r>
      <w:r>
        <w:rPr>
          <w:i/>
          <w:iCs/>
        </w:rPr>
        <w:t xml:space="preserve">J Comput Chem</w:t>
      </w:r>
      <w:r>
        <w:t xml:space="preserve">. 2011;32(10):2319-2327.</w:t>
      </w:r>
    </w:p>
    <w:p>
      <w:pPr>
        <w:pStyle w:val="Compact"/>
        <w:numPr>
          <w:ilvl w:val="0"/>
          <w:numId w:val="1002"/>
        </w:numPr>
      </w:pPr>
      <w:r>
        <w:t xml:space="preserve">Bouysset C, Fiorucci S. ProLIF: a library to encode molecular interactions as</w:t>
      </w:r>
      <w:r>
        <w:t xml:space="preserve"> </w:t>
      </w:r>
      <w:r>
        <w:t xml:space="preserve">fingerprints.</w:t>
      </w:r>
      <w:r>
        <w:t xml:space="preserve"> </w:t>
      </w:r>
      <w:r>
        <w:rPr>
          <w:i/>
          <w:iCs/>
        </w:rPr>
        <w:t xml:space="preserve">J Cheminform</w:t>
      </w:r>
      <w:r>
        <w:t xml:space="preserve">. 2021;13:72.</w:t>
      </w:r>
    </w:p>
    <w:p>
      <w:pPr>
        <w:pStyle w:val="Compact"/>
        <w:numPr>
          <w:ilvl w:val="0"/>
          <w:numId w:val="1002"/>
        </w:numPr>
      </w:pPr>
      <w:r>
        <w:t xml:space="preserve">Roe DR, Cheatham TE III. PTRAJ and CPPTRAJ: software for processing and analysis of</w:t>
      </w:r>
      <w:r>
        <w:t xml:space="preserve"> </w:t>
      </w:r>
      <w:r>
        <w:t xml:space="preserve">molecular dynamics trajectory data.</w:t>
      </w:r>
      <w:r>
        <w:t xml:space="preserve"> </w:t>
      </w:r>
      <w:r>
        <w:rPr>
          <w:i/>
          <w:iCs/>
        </w:rPr>
        <w:t xml:space="preserve">J Chem Theory Comput</w:t>
      </w:r>
      <w:r>
        <w:t xml:space="preserve">. 2013;9(7):3084-3095.</w:t>
      </w:r>
    </w:p>
    <w:p>
      <w:pPr>
        <w:pStyle w:val="Compact"/>
        <w:numPr>
          <w:ilvl w:val="0"/>
          <w:numId w:val="1002"/>
        </w:numPr>
      </w:pPr>
      <w:r>
        <w:t xml:space="preserve">Chaurasiya ND, et al. Selective inhibition of human monoamine oxidase B by</w:t>
      </w:r>
      <w:r>
        <w:t xml:space="preserve"> </w:t>
      </w:r>
      <w:r>
        <w:t xml:space="preserve">O-methylated flavonoids.</w:t>
      </w:r>
      <w:r>
        <w:t xml:space="preserve"> </w:t>
      </w:r>
      <w:r>
        <w:rPr>
          <w:i/>
          <w:iCs/>
        </w:rPr>
        <w:t xml:space="preserve">Molecules</w:t>
      </w:r>
      <w:r>
        <w:t xml:space="preserve">. 2020;25(22):5358. (Cited in the project brief as</w:t>
      </w:r>
      <w:r>
        <w:t xml:space="preserve"> </w:t>
      </w:r>
      <w:r>
        <w:t xml:space="preserve">“Sharma 2020”</w:t>
      </w:r>
      <w:r>
        <w:t xml:space="preserve">; attribution corrected here.)</w:t>
      </w:r>
    </w:p>
    <w:p>
      <w:pPr>
        <w:pStyle w:val="Compact"/>
        <w:numPr>
          <w:ilvl w:val="0"/>
          <w:numId w:val="1002"/>
        </w:numPr>
      </w:pPr>
      <w:r>
        <w:t xml:space="preserve">Primary phytochemical isolation reports for</w:t>
      </w:r>
      <w:r>
        <w:t xml:space="preserve"> </w:t>
      </w:r>
      <w:r>
        <w:rPr>
          <w:i/>
          <w:iCs/>
        </w:rPr>
        <w:t xml:space="preserve">Evolvulus alsinoides</w:t>
      </w:r>
      <w:r>
        <w:t xml:space="preserve"> </w:t>
      </w:r>
      <w:r>
        <w:t xml:space="preserve">flavonoid</w:t>
      </w:r>
      <w:r>
        <w:t xml:space="preserve"> </w:t>
      </w:r>
      <w:r>
        <w:t xml:space="preserve">constituents: PMID 17473466, PMID 19748554, PMID 23357036. (Full bibliographic details</w:t>
      </w:r>
      <w:r>
        <w:t xml:space="preserve"> </w:t>
      </w:r>
      <w:r>
        <w:t xml:space="preserve">to be completed from the PubMed records at submission; only PMIDs were captured during</w:t>
      </w:r>
      <w:r>
        <w:t xml:space="preserve"> </w:t>
      </w:r>
      <w:r>
        <w:t xml:space="preserve">library assembly.)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design and structure-based evaluation of 7-deoxyflavonol dual-target candidates against TTBK1 and MAO-B, with explicit anti-target counter-screening</dc:title>
  <dc:creator/>
  <cp:keywords/>
  <dcterms:created xsi:type="dcterms:W3CDTF">2026-08-19T15:30:33Z</dcterms:created>
  <dcterms:modified xsi:type="dcterms:W3CDTF">2026-08-19T15:30:33Z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subtitle">
    <vt:lpwstr>A hypothesis-generating computational study</vt:lpwstr>
  </property>
</Properties>
</file>