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color w:val="0F172A"/>
          <w:sz w:val="56"/>
        </w:rPr>
        <w:t>PharmaERP Enterprise</w:t>
      </w:r>
    </w:p>
    <w:p>
      <w:pPr>
        <w:spacing w:after="360"/>
      </w:pPr>
      <w:r>
        <w:rPr>
          <w:rFonts w:ascii="Segoe UI" w:hAnsi="Segoe UI"/>
          <w:color w:val="2563EB"/>
          <w:sz w:val="30"/>
        </w:rPr>
        <w:t>Commercial Prospectus, Operational Handbook &amp; Plain-Language Math Guide</w:t>
      </w:r>
    </w:p>
    <w:p>
      <w:pPr>
        <w:spacing w:after="480"/>
      </w:pPr>
      <w:r>
        <w:rPr>
          <w:b/>
        </w:rPr>
        <w:t xml:space="preserve">Document ID: </w:t>
      </w:r>
      <w:r>
        <w:t xml:space="preserve">DOC-PERP-COMM-2026-V1  |  </w:t>
      </w:r>
      <w:r>
        <w:rPr>
          <w:b/>
        </w:rPr>
        <w:t xml:space="preserve">Classification: </w:t>
      </w:r>
      <w:r>
        <w:t xml:space="preserve">Commercial in Confidence  |  </w:t>
      </w:r>
      <w:r>
        <w:rPr>
          <w:b/>
        </w:rPr>
        <w:t xml:space="preserve">Audience: </w:t>
      </w:r>
      <w:r>
        <w:t>Distributors, Wholesale Stockists, Managing Partners &amp; Counter Operators</w:t>
        <w:br/>
      </w:r>
    </w:p>
    <w:p>
      <w:r>
        <w:br w:type="page"/>
      </w:r>
    </w:p>
    <w:p>
      <w:pPr>
        <w:pStyle w:val="Heading1"/>
        <w:spacing w:before="360" w:after="160"/>
      </w:pPr>
      <w:r>
        <w:rPr>
          <w:rFonts w:ascii="Segoe UI" w:hAnsi="Segoe UI"/>
          <w:b/>
          <w:color w:val="0F172A"/>
          <w:sz w:val="40"/>
        </w:rPr>
        <w:t>PART 1: Commercial Prospectus &amp; Market Opportunity</w:t>
      </w:r>
    </w:p>
    <w:p>
      <w:pPr>
        <w:spacing w:after="120" w:line="276" w:lineRule="auto"/>
      </w:pPr>
      <w:r>
        <w:rPr>
          <w:rFonts w:ascii="Segoe UI" w:hAnsi="Segoe UI"/>
          <w:b w:val="0"/>
          <w:i w:val="0"/>
          <w:color w:val="1E293B"/>
          <w:sz w:val="21"/>
        </w:rPr>
        <w:t>The pharmaceutical supply chain in India represents a mission-critical distribution ecosystem comprising over 65,000 licensed wholesale distributors and super-stockists, facilitating the movement of pharmaceutical formulations valued at over ₹1.8 Lakh Crore ($22B+ USD) annually.</w:t>
      </w:r>
    </w:p>
    <w:p>
      <w:pPr>
        <w:spacing w:after="120" w:line="276" w:lineRule="auto"/>
      </w:pPr>
      <w:r>
        <w:rPr>
          <w:rFonts w:ascii="Segoe UI" w:hAnsi="Segoe UI"/>
          <w:b w:val="0"/>
          <w:i w:val="0"/>
          <w:color w:val="1E293B"/>
          <w:sz w:val="21"/>
        </w:rPr>
        <w:t>Despite the scale and regulatory gravity of this sector, more than 85% of distribution enterprises continue to operate on legacy, desktop-bound architectures dating back to the late 1990s and early 2000s (predominantly Marg ERP 9+). While functional in single-user offline environments, these legacy platforms have become significant operational bottlenecks that introduce material commercial risk:</w:t>
      </w:r>
    </w:p>
    <w:p>
      <w:pPr>
        <w:pStyle w:val="ListBullet"/>
        <w:spacing w:after="60" w:line="276" w:lineRule="auto"/>
      </w:pPr>
      <w:r>
        <w:rPr>
          <w:rFonts w:ascii="Segoe UI" w:hAnsi="Segoe UI"/>
          <w:b/>
          <w:color w:val="0F172A"/>
          <w:sz w:val="21"/>
        </w:rPr>
        <w:t xml:space="preserve">Information Asymmetry: </w:t>
      </w:r>
      <w:r>
        <w:rPr>
          <w:rFonts w:ascii="Segoe UI" w:hAnsi="Segoe UI"/>
          <w:color w:val="1E293B"/>
          <w:sz w:val="21"/>
        </w:rPr>
        <w:t>Business principals cannot evaluate enterprise inventory positions, sales velocity, or cash collection without physical presence at the local desktop PC.</w:t>
      </w:r>
    </w:p>
    <w:p>
      <w:pPr>
        <w:pStyle w:val="ListBullet"/>
        <w:spacing w:after="60" w:line="276" w:lineRule="auto"/>
      </w:pPr>
      <w:r>
        <w:rPr>
          <w:rFonts w:ascii="Segoe UI" w:hAnsi="Segoe UI"/>
          <w:b/>
          <w:color w:val="0F172A"/>
          <w:sz w:val="21"/>
        </w:rPr>
        <w:t xml:space="preserve">Infrastructure Vulnerability: </w:t>
      </w:r>
      <w:r>
        <w:rPr>
          <w:rFonts w:ascii="Segoe UI" w:hAnsi="Segoe UI"/>
          <w:color w:val="1E293B"/>
          <w:sz w:val="21"/>
        </w:rPr>
        <w:t>Dependence on flat-file databases (.dbf, .idx) creates systemic vulnerabilities to file corruption, power disruption faults, and localized ransomware events.</w:t>
      </w:r>
    </w:p>
    <w:p>
      <w:pPr>
        <w:pStyle w:val="ListBullet"/>
        <w:spacing w:after="60" w:line="276" w:lineRule="auto"/>
      </w:pPr>
      <w:r>
        <w:rPr>
          <w:rFonts w:ascii="Segoe UI" w:hAnsi="Segoe UI"/>
          <w:b/>
          <w:color w:val="0F172A"/>
          <w:sz w:val="21"/>
        </w:rPr>
        <w:t xml:space="preserve">Operational Inefficiency: </w:t>
      </w:r>
      <w:r>
        <w:rPr>
          <w:rFonts w:ascii="Segoe UI" w:hAnsi="Segoe UI"/>
          <w:color w:val="1E293B"/>
          <w:sz w:val="21"/>
        </w:rPr>
        <w:t>Secondary distribution relies on manual paper ledgers or WhatsApp messages, leading to order latency, fulfillment errors, and lost trade margins.</w:t>
      </w:r>
    </w:p>
    <w:p>
      <w:pPr>
        <w:pStyle w:val="ListBullet"/>
        <w:spacing w:after="60" w:line="276" w:lineRule="auto"/>
      </w:pPr>
      <w:r>
        <w:rPr>
          <w:rFonts w:ascii="Segoe UI" w:hAnsi="Segoe UI"/>
          <w:b/>
          <w:color w:val="0F172A"/>
          <w:sz w:val="21"/>
        </w:rPr>
        <w:t xml:space="preserve">Heightened Regulatory Scrutiny: </w:t>
      </w:r>
      <w:r>
        <w:rPr>
          <w:rFonts w:ascii="Segoe UI" w:hAnsi="Segoe UI"/>
          <w:color w:val="1E293B"/>
          <w:sz w:val="21"/>
        </w:rPr>
        <w:t>Mandatory e-invoicing, digital audit trails, and strict drug batch tracing require modern relational infrastructure capable of real-time statutory compliance.</w:t>
      </w:r>
    </w:p>
    <w:p>
      <w:pPr>
        <w:pStyle w:val="Heading2"/>
        <w:spacing w:before="280" w:after="120"/>
      </w:pPr>
      <w:r>
        <w:rPr>
          <w:rFonts w:ascii="Segoe UI" w:hAnsi="Segoe UI"/>
          <w:b/>
          <w:color w:val="2563EB"/>
          <w:sz w:val="28"/>
        </w:rPr>
        <w:t>Institutional Comparison: Legacy Desktop vs. PharmaERP Enterprise</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100" w:type="dxa"/>
              <w:bottom w:w="100" w:type="dxa"/>
              <w:left w:w="120" w:type="dxa"/>
              <w:right w:w="120" w:type="dxa"/>
            </w:tcMar>
          </w:tcPr>
          <w:p>
            <w:pPr>
              <w:jc w:val="left"/>
            </w:pPr>
            <w:r>
              <w:rPr>
                <w:rFonts w:ascii="Segoe UI" w:hAnsi="Segoe UI"/>
                <w:b/>
                <w:color w:val="FFFFFF"/>
                <w:sz w:val="20"/>
              </w:rPr>
              <w:t>Operational Vector</w:t>
            </w:r>
          </w:p>
        </w:tc>
        <w:tc>
          <w:tcPr>
            <w:tcW w:type="dxa" w:w="3600"/>
            <w:shd w:fill="0F172A"/>
            <w:tcMar>
              <w:top w:w="100" w:type="dxa"/>
              <w:bottom w:w="100" w:type="dxa"/>
              <w:left w:w="120" w:type="dxa"/>
              <w:right w:w="120" w:type="dxa"/>
            </w:tcMar>
          </w:tcPr>
          <w:p>
            <w:pPr>
              <w:jc w:val="left"/>
            </w:pPr>
            <w:r>
              <w:rPr>
                <w:rFonts w:ascii="Segoe UI" w:hAnsi="Segoe UI"/>
                <w:b/>
                <w:color w:val="FFFFFF"/>
                <w:sz w:val="20"/>
              </w:rPr>
              <w:t>Legacy Platforms (Marg ERP 9+)</w:t>
            </w:r>
          </w:p>
        </w:tc>
        <w:tc>
          <w:tcPr>
            <w:tcW w:type="dxa" w:w="3888"/>
            <w:shd w:fill="0F172A"/>
            <w:tcMar>
              <w:top w:w="100" w:type="dxa"/>
              <w:bottom w:w="100" w:type="dxa"/>
              <w:left w:w="120" w:type="dxa"/>
              <w:right w:w="120" w:type="dxa"/>
            </w:tcMar>
          </w:tcPr>
          <w:p>
            <w:pPr>
              <w:jc w:val="left"/>
            </w:pPr>
            <w:r>
              <w:rPr>
                <w:rFonts w:ascii="Segoe UI" w:hAnsi="Segoe UI"/>
                <w:b/>
                <w:color w:val="FFFFFF"/>
                <w:sz w:val="20"/>
              </w:rPr>
              <w:t>PharmaERP Enterprise Platform</w:t>
            </w:r>
          </w:p>
        </w:tc>
      </w:tr>
      <w:tr>
        <w:tc>
          <w:tcPr>
            <w:tcW w:type="dxa" w:w="2592"/>
            <w:shd w:fill="FFFFFF"/>
            <w:tcMar>
              <w:top w:w="80" w:type="dxa"/>
              <w:bottom w:w="80" w:type="dxa"/>
              <w:left w:w="120" w:type="dxa"/>
              <w:right w:w="120" w:type="dxa"/>
            </w:tcMar>
          </w:tcPr>
          <w:p>
            <w:r>
              <w:rPr>
                <w:rFonts w:ascii="Segoe UI" w:hAnsi="Segoe UI"/>
                <w:color w:val="1E293B"/>
                <w:sz w:val="19"/>
              </w:rPr>
              <w:t>Infrastructure Model</w:t>
            </w:r>
          </w:p>
        </w:tc>
        <w:tc>
          <w:tcPr>
            <w:tcW w:type="dxa" w:w="3600"/>
            <w:shd w:fill="FFFFFF"/>
            <w:tcMar>
              <w:top w:w="80" w:type="dxa"/>
              <w:bottom w:w="80" w:type="dxa"/>
              <w:left w:w="120" w:type="dxa"/>
              <w:right w:w="120" w:type="dxa"/>
            </w:tcMar>
          </w:tcPr>
          <w:p>
            <w:r>
              <w:rPr>
                <w:rFonts w:ascii="Segoe UI" w:hAnsi="Segoe UI"/>
                <w:color w:val="1E293B"/>
                <w:sz w:val="19"/>
              </w:rPr>
              <w:t>Locked to single Windows Desktop PC</w:t>
            </w:r>
          </w:p>
        </w:tc>
        <w:tc>
          <w:tcPr>
            <w:tcW w:type="dxa" w:w="3888"/>
            <w:shd w:fill="FFFFFF"/>
            <w:tcMar>
              <w:top w:w="80" w:type="dxa"/>
              <w:bottom w:w="80" w:type="dxa"/>
              <w:left w:w="120" w:type="dxa"/>
              <w:right w:w="120" w:type="dxa"/>
            </w:tcMar>
          </w:tcPr>
          <w:p>
            <w:r>
              <w:rPr>
                <w:rFonts w:ascii="Segoe UI" w:hAnsi="Segoe UI"/>
                <w:color w:val="1E293B"/>
                <w:sz w:val="19"/>
              </w:rPr>
              <w:t>Cloud-native, multi-device (Browser, Mobile, Tablet)</w:t>
            </w:r>
          </w:p>
        </w:tc>
      </w:tr>
      <w:tr>
        <w:tc>
          <w:tcPr>
            <w:tcW w:type="dxa" w:w="2592"/>
            <w:shd w:fill="F8FAFC"/>
            <w:tcMar>
              <w:top w:w="80" w:type="dxa"/>
              <w:bottom w:w="80" w:type="dxa"/>
              <w:left w:w="120" w:type="dxa"/>
              <w:right w:w="120" w:type="dxa"/>
            </w:tcMar>
          </w:tcPr>
          <w:p>
            <w:r>
              <w:rPr>
                <w:rFonts w:ascii="Segoe UI" w:hAnsi="Segoe UI"/>
                <w:color w:val="1E293B"/>
                <w:sz w:val="19"/>
              </w:rPr>
              <w:t>Data Persistence</w:t>
            </w:r>
          </w:p>
        </w:tc>
        <w:tc>
          <w:tcPr>
            <w:tcW w:type="dxa" w:w="3600"/>
            <w:shd w:fill="F8FAFC"/>
            <w:tcMar>
              <w:top w:w="80" w:type="dxa"/>
              <w:bottom w:w="80" w:type="dxa"/>
              <w:left w:w="120" w:type="dxa"/>
              <w:right w:w="120" w:type="dxa"/>
            </w:tcMar>
          </w:tcPr>
          <w:p>
            <w:r>
              <w:rPr>
                <w:rFonts w:ascii="Segoe UI" w:hAnsi="Segoe UI"/>
                <w:color w:val="1E293B"/>
                <w:sz w:val="19"/>
              </w:rPr>
              <w:t>Fragile flat-files (.dbf / .idx)</w:t>
            </w:r>
          </w:p>
        </w:tc>
        <w:tc>
          <w:tcPr>
            <w:tcW w:type="dxa" w:w="3888"/>
            <w:shd w:fill="F8FAFC"/>
            <w:tcMar>
              <w:top w:w="80" w:type="dxa"/>
              <w:bottom w:w="80" w:type="dxa"/>
              <w:left w:w="120" w:type="dxa"/>
              <w:right w:w="120" w:type="dxa"/>
            </w:tcMar>
          </w:tcPr>
          <w:p>
            <w:r>
              <w:rPr>
                <w:rFonts w:ascii="Segoe UI" w:hAnsi="Segoe UI"/>
                <w:color w:val="1E293B"/>
                <w:sz w:val="19"/>
              </w:rPr>
              <w:t>ACID-compliant PostgreSQL 16 database</w:t>
            </w:r>
          </w:p>
        </w:tc>
      </w:tr>
      <w:tr>
        <w:tc>
          <w:tcPr>
            <w:tcW w:type="dxa" w:w="2592"/>
            <w:shd w:fill="FFFFFF"/>
            <w:tcMar>
              <w:top w:w="80" w:type="dxa"/>
              <w:bottom w:w="80" w:type="dxa"/>
              <w:left w:w="120" w:type="dxa"/>
              <w:right w:w="120" w:type="dxa"/>
            </w:tcMar>
          </w:tcPr>
          <w:p>
            <w:r>
              <w:rPr>
                <w:rFonts w:ascii="Segoe UI" w:hAnsi="Segoe UI"/>
                <w:color w:val="1E293B"/>
                <w:sz w:val="19"/>
              </w:rPr>
              <w:t>Disaster Recovery</w:t>
            </w:r>
          </w:p>
        </w:tc>
        <w:tc>
          <w:tcPr>
            <w:tcW w:type="dxa" w:w="3600"/>
            <w:shd w:fill="FFFFFF"/>
            <w:tcMar>
              <w:top w:w="80" w:type="dxa"/>
              <w:bottom w:w="80" w:type="dxa"/>
              <w:left w:w="120" w:type="dxa"/>
              <w:right w:w="120" w:type="dxa"/>
            </w:tcMar>
          </w:tcPr>
          <w:p>
            <w:r>
              <w:rPr>
                <w:rFonts w:ascii="Segoe UI" w:hAnsi="Segoe UI"/>
                <w:color w:val="1E293B"/>
                <w:sz w:val="19"/>
              </w:rPr>
              <w:t>Manual USB copy or vulnerable to ransomware</w:t>
            </w:r>
          </w:p>
        </w:tc>
        <w:tc>
          <w:tcPr>
            <w:tcW w:type="dxa" w:w="3888"/>
            <w:shd w:fill="FFFFFF"/>
            <w:tcMar>
              <w:top w:w="80" w:type="dxa"/>
              <w:bottom w:w="80" w:type="dxa"/>
              <w:left w:w="120" w:type="dxa"/>
              <w:right w:w="120" w:type="dxa"/>
            </w:tcMar>
          </w:tcPr>
          <w:p>
            <w:r>
              <w:rPr>
                <w:rFonts w:ascii="Segoe UI" w:hAnsi="Segoe UI"/>
                <w:color w:val="1E293B"/>
                <w:sz w:val="19"/>
              </w:rPr>
              <w:t>Automated continuous backups with zero data loss</w:t>
            </w:r>
          </w:p>
        </w:tc>
      </w:tr>
      <w:tr>
        <w:tc>
          <w:tcPr>
            <w:tcW w:type="dxa" w:w="2592"/>
            <w:shd w:fill="F8FAFC"/>
            <w:tcMar>
              <w:top w:w="80" w:type="dxa"/>
              <w:bottom w:w="80" w:type="dxa"/>
              <w:left w:w="120" w:type="dxa"/>
              <w:right w:w="120" w:type="dxa"/>
            </w:tcMar>
          </w:tcPr>
          <w:p>
            <w:r>
              <w:rPr>
                <w:rFonts w:ascii="Segoe UI" w:hAnsi="Segoe UI"/>
                <w:color w:val="1E293B"/>
                <w:sz w:val="19"/>
              </w:rPr>
              <w:t>Remote / Mobile Access</w:t>
            </w:r>
          </w:p>
        </w:tc>
        <w:tc>
          <w:tcPr>
            <w:tcW w:type="dxa" w:w="3600"/>
            <w:shd w:fill="F8FAFC"/>
            <w:tcMar>
              <w:top w:w="80" w:type="dxa"/>
              <w:bottom w:w="80" w:type="dxa"/>
              <w:left w:w="120" w:type="dxa"/>
              <w:right w:w="120" w:type="dxa"/>
            </w:tcMar>
          </w:tcPr>
          <w:p>
            <w:r>
              <w:rPr>
                <w:rFonts w:ascii="Segoe UI" w:hAnsi="Segoe UI"/>
                <w:color w:val="1E293B"/>
                <w:sz w:val="19"/>
              </w:rPr>
              <w:t>Unavailable (must sit at shop PC)</w:t>
            </w:r>
          </w:p>
        </w:tc>
        <w:tc>
          <w:tcPr>
            <w:tcW w:type="dxa" w:w="3888"/>
            <w:shd w:fill="F8FAFC"/>
            <w:tcMar>
              <w:top w:w="80" w:type="dxa"/>
              <w:bottom w:w="80" w:type="dxa"/>
              <w:left w:w="120" w:type="dxa"/>
              <w:right w:w="120" w:type="dxa"/>
            </w:tcMar>
          </w:tcPr>
          <w:p>
            <w:r>
              <w:rPr>
                <w:rFonts w:ascii="Segoe UI" w:hAnsi="Segoe UI"/>
                <w:color w:val="1E293B"/>
                <w:sz w:val="19"/>
              </w:rPr>
              <w:t>Universal real-time web &amp; mobile touch access</w:t>
            </w:r>
          </w:p>
        </w:tc>
      </w:tr>
      <w:tr>
        <w:tc>
          <w:tcPr>
            <w:tcW w:type="dxa" w:w="2592"/>
            <w:shd w:fill="FFFFFF"/>
            <w:tcMar>
              <w:top w:w="80" w:type="dxa"/>
              <w:bottom w:w="80" w:type="dxa"/>
              <w:left w:w="120" w:type="dxa"/>
              <w:right w:w="120" w:type="dxa"/>
            </w:tcMar>
          </w:tcPr>
          <w:p>
            <w:r>
              <w:rPr>
                <w:rFonts w:ascii="Segoe UI" w:hAnsi="Segoe UI"/>
                <w:color w:val="1E293B"/>
                <w:sz w:val="19"/>
              </w:rPr>
              <w:t>Field Sales Support</w:t>
            </w:r>
          </w:p>
        </w:tc>
        <w:tc>
          <w:tcPr>
            <w:tcW w:type="dxa" w:w="3600"/>
            <w:shd w:fill="FFFFFF"/>
            <w:tcMar>
              <w:top w:w="80" w:type="dxa"/>
              <w:bottom w:w="80" w:type="dxa"/>
              <w:left w:w="120" w:type="dxa"/>
              <w:right w:w="120" w:type="dxa"/>
            </w:tcMar>
          </w:tcPr>
          <w:p>
            <w:r>
              <w:rPr>
                <w:rFonts w:ascii="Segoe UI" w:hAnsi="Segoe UI"/>
                <w:color w:val="1E293B"/>
                <w:sz w:val="19"/>
              </w:rPr>
              <w:t>Paper or WhatsApp orders re-typed manually</w:t>
            </w:r>
          </w:p>
        </w:tc>
        <w:tc>
          <w:tcPr>
            <w:tcW w:type="dxa" w:w="3888"/>
            <w:shd w:fill="FFFFFF"/>
            <w:tcMar>
              <w:top w:w="80" w:type="dxa"/>
              <w:bottom w:w="80" w:type="dxa"/>
              <w:left w:w="120" w:type="dxa"/>
              <w:right w:w="120" w:type="dxa"/>
            </w:tcMar>
          </w:tcPr>
          <w:p>
            <w:r>
              <w:rPr>
                <w:rFonts w:ascii="Segoe UI" w:hAnsi="Segoe UI"/>
                <w:color w:val="1E293B"/>
                <w:sz w:val="19"/>
              </w:rPr>
              <w:t>Sales reps book orders live on phone with stock checks</w:t>
            </w:r>
          </w:p>
        </w:tc>
      </w:tr>
      <w:tr>
        <w:tc>
          <w:tcPr>
            <w:tcW w:type="dxa" w:w="2592"/>
            <w:shd w:fill="F8FAFC"/>
            <w:tcMar>
              <w:top w:w="80" w:type="dxa"/>
              <w:bottom w:w="80" w:type="dxa"/>
              <w:left w:w="120" w:type="dxa"/>
              <w:right w:w="120" w:type="dxa"/>
            </w:tcMar>
          </w:tcPr>
          <w:p>
            <w:r>
              <w:rPr>
                <w:rFonts w:ascii="Segoe UI" w:hAnsi="Segoe UI"/>
                <w:color w:val="1E293B"/>
                <w:sz w:val="19"/>
              </w:rPr>
              <w:t>Staff Learning Curve</w:t>
            </w:r>
          </w:p>
        </w:tc>
        <w:tc>
          <w:tcPr>
            <w:tcW w:type="dxa" w:w="3600"/>
            <w:shd w:fill="F8FAFC"/>
            <w:tcMar>
              <w:top w:w="80" w:type="dxa"/>
              <w:bottom w:w="80" w:type="dxa"/>
              <w:left w:w="120" w:type="dxa"/>
              <w:right w:w="120" w:type="dxa"/>
            </w:tcMar>
          </w:tcPr>
          <w:p>
            <w:r>
              <w:rPr>
                <w:rFonts w:ascii="Segoe UI" w:hAnsi="Segoe UI"/>
                <w:color w:val="1E293B"/>
                <w:sz w:val="19"/>
              </w:rPr>
              <w:t>Complex 4-6 week keyboard training</w:t>
            </w:r>
          </w:p>
        </w:tc>
        <w:tc>
          <w:tcPr>
            <w:tcW w:type="dxa" w:w="3888"/>
            <w:shd w:fill="F8FAFC"/>
            <w:tcMar>
              <w:top w:w="80" w:type="dxa"/>
              <w:bottom w:w="80" w:type="dxa"/>
              <w:left w:w="120" w:type="dxa"/>
              <w:right w:w="120" w:type="dxa"/>
            </w:tcMar>
          </w:tcPr>
          <w:p>
            <w:r>
              <w:rPr>
                <w:rFonts w:ascii="Segoe UI" w:hAnsi="Segoe UI"/>
                <w:color w:val="1E293B"/>
                <w:sz w:val="19"/>
              </w:rPr>
              <w:t>Intuitive, clean modern interface (under 3 days)</w:t>
            </w:r>
          </w:p>
        </w:tc>
      </w:tr>
      <w:tr>
        <w:tc>
          <w:tcPr>
            <w:tcW w:type="dxa" w:w="2592"/>
            <w:shd w:fill="FFFFFF"/>
            <w:tcMar>
              <w:top w:w="80" w:type="dxa"/>
              <w:bottom w:w="80" w:type="dxa"/>
              <w:left w:w="120" w:type="dxa"/>
              <w:right w:w="120" w:type="dxa"/>
            </w:tcMar>
          </w:tcPr>
          <w:p>
            <w:r>
              <w:rPr>
                <w:rFonts w:ascii="Segoe UI" w:hAnsi="Segoe UI"/>
                <w:color w:val="1E293B"/>
                <w:sz w:val="19"/>
              </w:rPr>
              <w:t>Security Architecture</w:t>
            </w:r>
          </w:p>
        </w:tc>
        <w:tc>
          <w:tcPr>
            <w:tcW w:type="dxa" w:w="3600"/>
            <w:shd w:fill="FFFFFF"/>
            <w:tcMar>
              <w:top w:w="80" w:type="dxa"/>
              <w:bottom w:w="80" w:type="dxa"/>
              <w:left w:w="120" w:type="dxa"/>
              <w:right w:w="120" w:type="dxa"/>
            </w:tcMar>
          </w:tcPr>
          <w:p>
            <w:r>
              <w:rPr>
                <w:rFonts w:ascii="Segoe UI" w:hAnsi="Segoe UI"/>
                <w:color w:val="1E293B"/>
                <w:sz w:val="19"/>
              </w:rPr>
              <w:t>Local file access without table protection</w:t>
            </w:r>
          </w:p>
        </w:tc>
        <w:tc>
          <w:tcPr>
            <w:tcW w:type="dxa" w:w="3888"/>
            <w:shd w:fill="FFFFFF"/>
            <w:tcMar>
              <w:top w:w="80" w:type="dxa"/>
              <w:bottom w:w="80" w:type="dxa"/>
              <w:left w:w="120" w:type="dxa"/>
              <w:right w:w="120" w:type="dxa"/>
            </w:tcMar>
          </w:tcPr>
          <w:p>
            <w:r>
              <w:rPr>
                <w:rFonts w:ascii="Segoe UI" w:hAnsi="Segoe UI"/>
                <w:color w:val="1E293B"/>
                <w:sz w:val="19"/>
              </w:rPr>
              <w:t>Bank-grade Row-Level Security (RLS) &amp; RBAC</w:t>
            </w:r>
          </w:p>
        </w:tc>
      </w:tr>
    </w:tbl>
    <w:p>
      <w:pPr>
        <w:spacing w:after="160"/>
      </w:pPr>
    </w:p>
    <w:p>
      <w:pPr>
        <w:pStyle w:val="Heading2"/>
        <w:spacing w:before="280" w:after="120"/>
      </w:pPr>
      <w:r>
        <w:rPr>
          <w:rFonts w:ascii="Segoe UI" w:hAnsi="Segoe UI"/>
          <w:b/>
          <w:color w:val="2563EB"/>
          <w:sz w:val="28"/>
        </w:rPr>
        <w:t>The 'Zero-Downtime' Data Migration Guarantee</w:t>
      </w:r>
    </w:p>
    <w:p>
      <w:pPr>
        <w:spacing w:after="120" w:line="276" w:lineRule="auto"/>
      </w:pPr>
      <w:r>
        <w:rPr>
          <w:rFonts w:ascii="Segoe UI" w:hAnsi="Segoe UI"/>
          <w:b w:val="0"/>
          <w:i w:val="0"/>
          <w:color w:val="1E293B"/>
          <w:sz w:val="21"/>
        </w:rPr>
        <w:t>The primary barrier preventing distributors from adopting modern software is the fear of losing their catalog or suffering days of operational disruption. PharmaERP solves this completely through an automated ETL data pipeline:</w:t>
      </w:r>
    </w:p>
    <w:p>
      <w:pPr>
        <w:pStyle w:val="ListBullet"/>
        <w:spacing w:after="60" w:line="276" w:lineRule="auto"/>
      </w:pPr>
      <w:r>
        <w:rPr>
          <w:rFonts w:ascii="Segoe UI" w:hAnsi="Segoe UI"/>
          <w:b/>
          <w:color w:val="0F172A"/>
          <w:sz w:val="21"/>
        </w:rPr>
        <w:t xml:space="preserve">Complete Catalog Preservation: </w:t>
      </w:r>
      <w:r>
        <w:rPr>
          <w:rFonts w:ascii="Segoe UI" w:hAnsi="Segoe UI"/>
          <w:color w:val="1E293B"/>
          <w:sz w:val="21"/>
        </w:rPr>
        <w:t>Direct ingestion scripts import your full Marg ERP database including 11,000+ medicines, packaging, manufacturer mappings, HSN tax codes, and batch expiry records.</w:t>
      </w:r>
    </w:p>
    <w:p>
      <w:pPr>
        <w:pStyle w:val="ListBullet"/>
        <w:spacing w:after="60" w:line="276" w:lineRule="auto"/>
      </w:pPr>
      <w:r>
        <w:rPr>
          <w:rFonts w:ascii="Segoe UI" w:hAnsi="Segoe UI"/>
          <w:b/>
          <w:color w:val="0F172A"/>
          <w:sz w:val="21"/>
        </w:rPr>
        <w:t xml:space="preserve">Balance Sheet Integrity: </w:t>
      </w:r>
      <w:r>
        <w:rPr>
          <w:rFonts w:ascii="Segoe UI" w:hAnsi="Segoe UI"/>
          <w:color w:val="1E293B"/>
          <w:sz w:val="21"/>
        </w:rPr>
        <w:t>All outstanding balances across Sundry Debtors (chemists) and Sundry Creditors (suppliers) are verified down to the rupee.</w:t>
      </w:r>
    </w:p>
    <w:p>
      <w:pPr>
        <w:pStyle w:val="ListBullet"/>
        <w:spacing w:after="60" w:line="276" w:lineRule="auto"/>
      </w:pPr>
      <w:r>
        <w:rPr>
          <w:rFonts w:ascii="Segoe UI" w:hAnsi="Segoe UI"/>
          <w:b/>
          <w:color w:val="0F172A"/>
          <w:sz w:val="21"/>
        </w:rPr>
        <w:t xml:space="preserve">Weekend Cutover Execution: </w:t>
      </w:r>
      <w:r>
        <w:rPr>
          <w:rFonts w:ascii="Segoe UI" w:hAnsi="Segoe UI"/>
          <w:color w:val="1E293B"/>
          <w:sz w:val="21"/>
        </w:rPr>
        <w:t>Data is exported Saturday evening, processed and audited over the weekend, allowing your counters to open Monday morning on PharmaERP with zero trading downtime.</w:t>
      </w:r>
    </w:p>
    <w:p>
      <w:pPr>
        <w:pStyle w:val="Heading2"/>
        <w:spacing w:before="280" w:after="120"/>
      </w:pPr>
      <w:r>
        <w:rPr>
          <w:rFonts w:ascii="Segoe UI" w:hAnsi="Segoe UI"/>
          <w:b/>
          <w:color w:val="2563EB"/>
          <w:sz w:val="28"/>
        </w:rPr>
        <w:t>Value Creation &amp; Operational Return on Investment (ROI)</w:t>
      </w:r>
    </w:p>
    <w:p>
      <w:pPr>
        <w:pStyle w:val="ListBullet"/>
        <w:spacing w:after="60" w:line="276" w:lineRule="auto"/>
      </w:pPr>
      <w:r>
        <w:rPr>
          <w:rFonts w:ascii="Segoe UI" w:hAnsi="Segoe UI"/>
          <w:b/>
          <w:color w:val="0F172A"/>
          <w:sz w:val="21"/>
        </w:rPr>
        <w:t xml:space="preserve">Elimination of Server CapEx: </w:t>
      </w:r>
      <w:r>
        <w:rPr>
          <w:rFonts w:ascii="Segoe UI" w:hAnsi="Segoe UI"/>
          <w:color w:val="1E293B"/>
          <w:sz w:val="21"/>
        </w:rPr>
        <w:t>Eliminates recurring physical server purchases, uninterrupted power supply units (UPS), and localized IT networking maintenance.</w:t>
      </w:r>
    </w:p>
    <w:p>
      <w:pPr>
        <w:pStyle w:val="ListBullet"/>
        <w:spacing w:after="60" w:line="276" w:lineRule="auto"/>
      </w:pPr>
      <w:r>
        <w:rPr>
          <w:rFonts w:ascii="Segoe UI" w:hAnsi="Segoe UI"/>
          <w:b/>
          <w:color w:val="0F172A"/>
          <w:sz w:val="21"/>
        </w:rPr>
        <w:t xml:space="preserve">Expiry &amp; Waste Prevention: </w:t>
      </w:r>
      <w:r>
        <w:rPr>
          <w:rFonts w:ascii="Segoe UI" w:hAnsi="Segoe UI"/>
          <w:color w:val="1E293B"/>
          <w:sz w:val="21"/>
        </w:rPr>
        <w:t>Strict FEFO automated batch allocation ensures medicines expiring first are dispatched first, eliminating unsellable dead-stock write-offs.</w:t>
      </w:r>
    </w:p>
    <w:p>
      <w:pPr>
        <w:pStyle w:val="ListBullet"/>
        <w:spacing w:after="60" w:line="276" w:lineRule="auto"/>
      </w:pPr>
      <w:r>
        <w:rPr>
          <w:rFonts w:ascii="Segoe UI" w:hAnsi="Segoe UI"/>
          <w:b/>
          <w:color w:val="0F172A"/>
          <w:sz w:val="21"/>
        </w:rPr>
        <w:t xml:space="preserve">Accelerated Order Velocity: </w:t>
      </w:r>
      <w:r>
        <w:rPr>
          <w:rFonts w:ascii="Segoe UI" w:hAnsi="Segoe UI"/>
          <w:color w:val="1E293B"/>
          <w:sz w:val="21"/>
        </w:rPr>
        <w:t>Field sales representatives capture chemist orders directly into fulfillment queues, reducing delivery dispatch times by 2 to 4 hours per cycle.</w:t>
      </w:r>
    </w:p>
    <w:p>
      <w:pPr>
        <w:pStyle w:val="ListBullet"/>
        <w:spacing w:after="60" w:line="276" w:lineRule="auto"/>
      </w:pPr>
      <w:r>
        <w:rPr>
          <w:rFonts w:ascii="Segoe UI" w:hAnsi="Segoe UI"/>
          <w:b/>
          <w:color w:val="0F172A"/>
          <w:sz w:val="21"/>
        </w:rPr>
        <w:t xml:space="preserve">Enterprise Business Continuity: </w:t>
      </w:r>
      <w:r>
        <w:rPr>
          <w:rFonts w:ascii="Segoe UI" w:hAnsi="Segoe UI"/>
          <w:color w:val="1E293B"/>
          <w:sz w:val="21"/>
        </w:rPr>
        <w:t>Immunity against local hard drive failures and ransomware attacks that frequently destroy desktop accounting databases.</w:t>
      </w:r>
    </w:p>
    <w:p>
      <w:pPr>
        <w:pStyle w:val="Heading2"/>
        <w:spacing w:before="280" w:after="120"/>
      </w:pPr>
      <w:r>
        <w:rPr>
          <w:rFonts w:ascii="Segoe UI" w:hAnsi="Segoe UI"/>
          <w:b/>
          <w:color w:val="2563EB"/>
          <w:sz w:val="28"/>
        </w:rPr>
        <w:t>Commercial Deployment Architectures</w:t>
      </w:r>
    </w:p>
    <w:p>
      <w:pPr>
        <w:pStyle w:val="ListBullet"/>
        <w:spacing w:after="60" w:line="276" w:lineRule="auto"/>
      </w:pPr>
      <w:r>
        <w:rPr>
          <w:rFonts w:ascii="Segoe UI" w:hAnsi="Segoe UI"/>
          <w:b/>
          <w:color w:val="0F172A"/>
          <w:sz w:val="21"/>
        </w:rPr>
        <w:t xml:space="preserve">Model A — Professional Wholesale Cloud: </w:t>
      </w:r>
      <w:r>
        <w:rPr>
          <w:rFonts w:ascii="Segoe UI" w:hAnsi="Segoe UI"/>
          <w:color w:val="1E293B"/>
          <w:sz w:val="21"/>
        </w:rPr>
        <w:t>Tailored for established single-location wholesale distributors. Includes core counter terminals, mobile sales rep access, automated cloud snapshots, and integrated GST statutory reporting.</w:t>
      </w:r>
    </w:p>
    <w:p>
      <w:pPr>
        <w:pStyle w:val="ListBullet"/>
        <w:spacing w:after="60" w:line="276" w:lineRule="auto"/>
      </w:pPr>
      <w:r>
        <w:rPr>
          <w:rFonts w:ascii="Segoe UI" w:hAnsi="Segoe UI"/>
          <w:b/>
          <w:color w:val="0F172A"/>
          <w:sz w:val="21"/>
        </w:rPr>
        <w:t xml:space="preserve">Model B — Enterprise Multi-Branch Federation: </w:t>
      </w:r>
      <w:r>
        <w:rPr>
          <w:rFonts w:ascii="Segoe UI" w:hAnsi="Segoe UI"/>
          <w:color w:val="1E293B"/>
          <w:sz w:val="21"/>
        </w:rPr>
        <w:t>Engineered for large-scale stockists, C&amp;F agencies, and multi-depot distribution enterprises. Features centralized multi-warehouse stock visibility with inter-branch transfers and customizable security policies.</w:t>
      </w:r>
    </w:p>
    <w:p>
      <w:r>
        <w:br w:type="page"/>
      </w:r>
    </w:p>
    <w:p>
      <w:pPr>
        <w:pStyle w:val="Heading1"/>
        <w:spacing w:before="360" w:after="160"/>
      </w:pPr>
      <w:r>
        <w:rPr>
          <w:rFonts w:ascii="Segoe UI" w:hAnsi="Segoe UI"/>
          <w:b/>
          <w:color w:val="0F172A"/>
          <w:sz w:val="40"/>
        </w:rPr>
        <w:t>PART 2: The Simple Mathematics of Wholesale Pharma</w:t>
      </w:r>
    </w:p>
    <w:p>
      <w:pPr>
        <w:spacing w:after="120" w:line="276" w:lineRule="auto"/>
      </w:pPr>
      <w:r>
        <w:rPr>
          <w:rFonts w:ascii="Segoe UI" w:hAnsi="Segoe UI"/>
          <w:b w:val="0"/>
          <w:i w:val="0"/>
          <w:color w:val="1E293B"/>
          <w:sz w:val="21"/>
        </w:rPr>
        <w:t>Every calculation in PharmaERP is performed according to standard Indian GST and pharmaceutical trade practices. Below is the straightforward arithmetic behind every screen, demonstrated with practical examples.</w:t>
      </w:r>
    </w:p>
    <w:p>
      <w:pPr>
        <w:pStyle w:val="Heading2"/>
        <w:spacing w:before="280" w:after="120"/>
      </w:pPr>
      <w:r>
        <w:rPr>
          <w:rFonts w:ascii="Segoe UI" w:hAnsi="Segoe UI"/>
          <w:b/>
          <w:color w:val="2563EB"/>
          <w:sz w:val="28"/>
        </w:rPr>
        <w:t>Example 1: How a Sale Bill is Calculated</w:t>
      </w:r>
    </w:p>
    <w:p>
      <w:pPr>
        <w:spacing w:after="120" w:line="276" w:lineRule="auto"/>
      </w:pPr>
      <w:r>
        <w:rPr>
          <w:rFonts w:ascii="Segoe UI" w:hAnsi="Segoe UI"/>
          <w:b w:val="0"/>
          <w:i w:val="0"/>
          <w:color w:val="1E293B"/>
          <w:sz w:val="21"/>
        </w:rPr>
        <w:t>Scenario: You sell 10 strips of Dolo 650mg to Apollo Pharmacy at ₹100.00 per strip, with a 5% trade discount and 12% GST.</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Step 1: Gross Amount = Quantity × Rate = 10 × ₹100.00 = ₹1,000.00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Step 2: Discount Amount = Gross Amount × 5% = ₹1,000.00 × 0.05 = ₹50.00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Step 3: Taxable Base Value = Gross - Discount = ₹1,000.00 - ₹50.00 = ₹950.00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Step 4: GST Tax Amount = Taxable Value × 12% = ₹950.00 × 0.12 = ₹114.00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Step 5: Final Line Total = Taxable Value + GST = ₹950.00 + ₹114.00 = ₹1,064.00</w:t>
            </w:r>
          </w:p>
        </w:tc>
      </w:tr>
    </w:tbl>
    <w:p>
      <w:pPr>
        <w:spacing w:after="120"/>
      </w:pPr>
    </w:p>
    <w:p>
      <w:pPr>
        <w:pStyle w:val="Heading2"/>
        <w:spacing w:before="280" w:after="120"/>
      </w:pPr>
      <w:r>
        <w:rPr>
          <w:rFonts w:ascii="Segoe UI" w:hAnsi="Segoe UI"/>
          <w:b/>
          <w:color w:val="2563EB"/>
          <w:sz w:val="28"/>
        </w:rPr>
        <w:t>Example 2: How Promotional Schemes (10 + 1 Free) are Calculated</w:t>
      </w:r>
    </w:p>
    <w:p>
      <w:pPr>
        <w:spacing w:after="120" w:line="276" w:lineRule="auto"/>
      </w:pPr>
      <w:r>
        <w:rPr>
          <w:rFonts w:ascii="Segoe UI" w:hAnsi="Segoe UI"/>
          <w:b w:val="0"/>
          <w:i w:val="0"/>
          <w:color w:val="1E293B"/>
          <w:sz w:val="21"/>
        </w:rPr>
        <w:t>Scenario: Active scheme is Buy 10, Get 1 Free (10 + 1). A chemist orders 25 strips.</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Complete Deals Qualified = 25 ÷ 10 = 2 full deals (with 5 extra strips)</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Free Strips Awarded = 2 deals × 1 free strip = 2 Free Strips</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Total Strips Handed to Chemist = 25 paid + 2 free = 27 strips (Billed for only 25)</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Chemist's True Cost per Strip:</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Total Money Paid = 10 strips × ₹100.00 = ₹1,000.00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Total Strips Received = 10 paid + 1 free = 11 strips</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Real Cost per Strip = ₹1,000.00 ÷ 11 = ₹90.91 per strip</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Effective Scheme Discount = ((₹100.00 - ₹90.91) ÷ ₹100.00) × 100 = 9.09% discount</w:t>
            </w:r>
          </w:p>
        </w:tc>
      </w:tr>
    </w:tbl>
    <w:p>
      <w:pPr>
        <w:spacing w:after="120"/>
      </w:pPr>
    </w:p>
    <w:p>
      <w:pPr>
        <w:pStyle w:val="Heading2"/>
        <w:spacing w:before="280" w:after="120"/>
      </w:pPr>
      <w:r>
        <w:rPr>
          <w:rFonts w:ascii="Segoe UI" w:hAnsi="Segoe UI"/>
          <w:b/>
          <w:color w:val="2563EB"/>
          <w:sz w:val="28"/>
        </w:rPr>
        <w:t>Example 3: Cash Profit, Margin % and Markup %</w:t>
      </w:r>
    </w:p>
    <w:p>
      <w:pPr>
        <w:spacing w:after="120" w:line="276" w:lineRule="auto"/>
      </w:pPr>
      <w:r>
        <w:rPr>
          <w:rFonts w:ascii="Segoe UI" w:hAnsi="Segoe UI"/>
          <w:b w:val="0"/>
          <w:i w:val="0"/>
          <w:color w:val="1E293B"/>
          <w:sz w:val="21"/>
        </w:rPr>
        <w:t>Scenario: You buy a cough syrup from Cipla at ₹80.00 (Purchase Rate) and sell it to a chemist at ₹100.00 (Sale Rate).</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1. Cash Profit per Bottle = Sale Rate - Purchase Rate = ₹100.00 - ₹80.00 = ₹20.00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2. Margin % = (Profit ÷ Sale Rate) × 100 = (₹20.00 ÷ ₹100.00) × 100 = 20.00% Margin</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3. Markup % = (Profit ÷ Purchase Rate) × 100 = (₹20.00 ÷ ₹80.00) × 100 = 25.00% Markup</w:t>
            </w:r>
          </w:p>
        </w:tc>
      </w:tr>
    </w:tbl>
    <w:p>
      <w:pPr>
        <w:spacing w:after="120"/>
      </w:pPr>
    </w:p>
    <w:p>
      <w:pPr>
        <w:spacing w:after="120" w:line="276" w:lineRule="auto"/>
      </w:pPr>
      <w:r>
        <w:rPr>
          <w:rFonts w:ascii="Segoe UI" w:hAnsi="Segoe UI"/>
          <w:b w:val="0"/>
          <w:i w:val="0"/>
          <w:color w:val="1E293B"/>
          <w:sz w:val="21"/>
        </w:rPr>
        <w:t>Color Indicators in PharmaERP:</w:t>
      </w:r>
    </w:p>
    <w:p>
      <w:pPr>
        <w:pStyle w:val="ListBullet"/>
        <w:spacing w:after="60" w:line="276" w:lineRule="auto"/>
      </w:pPr>
      <w:r>
        <w:rPr>
          <w:rFonts w:ascii="Segoe UI" w:hAnsi="Segoe UI"/>
          <w:b/>
          <w:color w:val="0F172A"/>
          <w:sz w:val="21"/>
        </w:rPr>
        <w:t xml:space="preserve">Green Badge: </w:t>
      </w:r>
      <w:r>
        <w:rPr>
          <w:rFonts w:ascii="Segoe UI" w:hAnsi="Segoe UI"/>
          <w:color w:val="1E293B"/>
          <w:sz w:val="21"/>
        </w:rPr>
        <w:t>Margin is 25% or higher (High Profitability line).</w:t>
      </w:r>
    </w:p>
    <w:p>
      <w:pPr>
        <w:pStyle w:val="ListBullet"/>
        <w:spacing w:after="60" w:line="276" w:lineRule="auto"/>
      </w:pPr>
      <w:r>
        <w:rPr>
          <w:rFonts w:ascii="Segoe UI" w:hAnsi="Segoe UI"/>
          <w:b/>
          <w:color w:val="0F172A"/>
          <w:sz w:val="21"/>
        </w:rPr>
        <w:t xml:space="preserve">Blue Badge: </w:t>
      </w:r>
      <w:r>
        <w:rPr>
          <w:rFonts w:ascii="Segoe UI" w:hAnsi="Segoe UI"/>
          <w:color w:val="1E293B"/>
          <w:sz w:val="21"/>
        </w:rPr>
        <w:t>Margin is between 15% and 25% (Standard Wholesale Trade).</w:t>
      </w:r>
    </w:p>
    <w:p>
      <w:pPr>
        <w:pStyle w:val="ListBullet"/>
        <w:spacing w:after="60" w:line="276" w:lineRule="auto"/>
      </w:pPr>
      <w:r>
        <w:rPr>
          <w:rFonts w:ascii="Segoe UI" w:hAnsi="Segoe UI"/>
          <w:b/>
          <w:color w:val="0F172A"/>
          <w:sz w:val="21"/>
        </w:rPr>
        <w:t xml:space="preserve">Amber Badge: </w:t>
      </w:r>
      <w:r>
        <w:rPr>
          <w:rFonts w:ascii="Segoe UI" w:hAnsi="Segoe UI"/>
          <w:color w:val="1E293B"/>
          <w:sz w:val="21"/>
        </w:rPr>
        <w:t>Margin is below 15% (Alerts counter staff to avoid deep additional discounts).</w:t>
      </w:r>
    </w:p>
    <w:p>
      <w:pPr>
        <w:pStyle w:val="Heading2"/>
        <w:spacing w:before="280" w:after="120"/>
      </w:pPr>
      <w:r>
        <w:rPr>
          <w:rFonts w:ascii="Segoe UI" w:hAnsi="Segoe UI"/>
          <w:b/>
          <w:color w:val="2563EB"/>
          <w:sz w:val="28"/>
        </w:rPr>
        <w:t>Example 4: Chemist Retail Profit from MRP</w:t>
      </w:r>
    </w:p>
    <w:p>
      <w:pPr>
        <w:spacing w:after="120" w:line="276" w:lineRule="auto"/>
      </w:pPr>
      <w:r>
        <w:rPr>
          <w:rFonts w:ascii="Segoe UI" w:hAnsi="Segoe UI"/>
          <w:b w:val="0"/>
          <w:i w:val="0"/>
          <w:color w:val="1E293B"/>
          <w:sz w:val="21"/>
        </w:rPr>
        <w:t>Scenario: MRP on medicine box is ₹120.00, and your wholesale sale rate to chemist is ₹100.00.</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Chemist Retail Profit = MRP - Wholesale Rate = ₹120.00 - ₹100.00 = ₹20.00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Chemist Retail Margin % = (₹20.00 ÷ ₹120.00) × 100 = 16.67% Retail Margin</w:t>
            </w:r>
          </w:p>
        </w:tc>
      </w:tr>
    </w:tbl>
    <w:p>
      <w:pPr>
        <w:spacing w:after="120"/>
      </w:pPr>
    </w:p>
    <w:p>
      <w:pPr>
        <w:pStyle w:val="Heading2"/>
        <w:spacing w:before="280" w:after="120"/>
      </w:pPr>
      <w:r>
        <w:rPr>
          <w:rFonts w:ascii="Segoe UI" w:hAnsi="Segoe UI"/>
          <w:b/>
          <w:color w:val="2563EB"/>
          <w:sz w:val="28"/>
        </w:rPr>
        <w:t>Example 5: GST Calculation (Local vs Inter-State)</w:t>
      </w:r>
    </w:p>
    <w:p>
      <w:pPr>
        <w:spacing w:after="120" w:line="276" w:lineRule="auto"/>
      </w:pPr>
      <w:r>
        <w:rPr>
          <w:rFonts w:ascii="Segoe UI" w:hAnsi="Segoe UI"/>
          <w:b w:val="0"/>
          <w:i w:val="0"/>
          <w:color w:val="1E293B"/>
          <w:sz w:val="21"/>
        </w:rPr>
        <w:t>Scenario: On a taxable medicine value of ₹950.00 at 12% GST:</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Case A: Local Sale in Same State (Intra-State Split):</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Central Tax (CGST 6%) = ₹950.00 × 6% = ₹57.00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State Tax (SGST 6%) = ₹950.00 × 6% = ₹57.00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Total Tax Collected = ₹57.00 + ₹57.00 = ₹114.00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Case B: Sale to Another State (Inter-State Single Tax):</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Integrated Tax (IGST 12%) = ₹950.00 × 12% = ₹114.00</w:t>
            </w:r>
          </w:p>
        </w:tc>
      </w:tr>
    </w:tbl>
    <w:p>
      <w:pPr>
        <w:spacing w:after="120"/>
      </w:pPr>
    </w:p>
    <w:p>
      <w:pPr>
        <w:pStyle w:val="Heading2"/>
        <w:spacing w:before="280" w:after="120"/>
      </w:pPr>
      <w:r>
        <w:rPr>
          <w:rFonts w:ascii="Segoe UI" w:hAnsi="Segoe UI"/>
          <w:b/>
          <w:color w:val="2563EB"/>
          <w:sz w:val="28"/>
        </w:rPr>
        <w:t>Example 6: Round-Off to the Nearest Rupee</w:t>
      </w:r>
    </w:p>
    <w:p>
      <w:pPr>
        <w:spacing w:after="120" w:line="276" w:lineRule="auto"/>
      </w:pPr>
      <w:r>
        <w:rPr>
          <w:rFonts w:ascii="Segoe UI" w:hAnsi="Segoe UI"/>
          <w:b w:val="0"/>
          <w:i w:val="0"/>
          <w:color w:val="1E293B"/>
          <w:sz w:val="21"/>
        </w:rPr>
        <w:t>Rule: 1 to 49 paise rounds down to ₹0.00; 50 to 99 paise rounds up to next ₹1.00.</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Bill ending in 30 paise: Exact ₹1,245.30 -&gt; Net Bill ₹1,245.00 (Round-off: -₹0.30)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Bill ending in 75 paise: Exact ₹1,245.75 -&gt; Net Bill ₹1,246.00 (Round-off: +₹0.25)</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All fractional differences post automatically to the dedicated 'Round Off Account'.</w:t>
            </w:r>
          </w:p>
        </w:tc>
      </w:tr>
    </w:tbl>
    <w:p>
      <w:pPr>
        <w:spacing w:after="120"/>
      </w:pPr>
    </w:p>
    <w:p>
      <w:pPr>
        <w:pStyle w:val="Heading2"/>
        <w:spacing w:before="280" w:after="120"/>
      </w:pPr>
      <w:r>
        <w:rPr>
          <w:rFonts w:ascii="Segoe UI" w:hAnsi="Segoe UI"/>
          <w:b/>
          <w:color w:val="2563EB"/>
          <w:sz w:val="28"/>
        </w:rPr>
        <w:t>Example 7: Customer Ledger Balance Calculation</w:t>
      </w:r>
    </w:p>
    <w:p>
      <w:pPr>
        <w:spacing w:after="120" w:line="276" w:lineRule="auto"/>
      </w:pPr>
      <w:r>
        <w:rPr>
          <w:rFonts w:ascii="Segoe UI" w:hAnsi="Segoe UI"/>
          <w:b w:val="0"/>
          <w:i w:val="0"/>
          <w:color w:val="1E293B"/>
          <w:sz w:val="21"/>
        </w:rPr>
        <w:t>Scenario: Apollo Pharmacy statement over the month:</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Opening Balance on 1st: ₹10,000.00 (Debit - they owe ₹10,000.00)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On 5th: You bill a new sale: +₹5,000.00 (Debit)</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On 12th: They pay by NEFT / Bank transfer: -₹8,000.00 (Credit)</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Closing Balance = ₹10,000.00 + ₹5,000.00 - ₹8,000.00 = ₹7,000.00 (Debit balance)</w:t>
            </w:r>
          </w:p>
        </w:tc>
      </w:tr>
    </w:tbl>
    <w:p>
      <w:pPr>
        <w:spacing w:after="120"/>
      </w:pPr>
    </w:p>
    <w:p>
      <w:pPr>
        <w:pStyle w:val="Heading2"/>
        <w:spacing w:before="280" w:after="120"/>
      </w:pPr>
      <w:r>
        <w:rPr>
          <w:rFonts w:ascii="Segoe UI" w:hAnsi="Segoe UI"/>
          <w:b/>
          <w:color w:val="2563EB"/>
          <w:sz w:val="28"/>
        </w:rPr>
        <w:t>Example 8: Daily Cash Drawer Balancing (Day Book)</w:t>
      </w:r>
    </w:p>
    <w:p>
      <w:pPr>
        <w:spacing w:after="120" w:line="276" w:lineRule="auto"/>
      </w:pPr>
      <w:r>
        <w:rPr>
          <w:rFonts w:ascii="Segoe UI" w:hAnsi="Segoe UI"/>
          <w:b w:val="0"/>
          <w:i w:val="0"/>
          <w:color w:val="1E293B"/>
          <w:sz w:val="21"/>
        </w:rPr>
        <w:t>Closing cash drawer count at 8:00 PM:</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Opening Cash in drawer this morning = ₹5,000.00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Plus cash collected from sales today = +₹12,000.00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Minus tea and shop expenses paid in cash = -₹500.00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Minus cash deposited into bank account = -₹10,000.00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Expected Physical Cash in Drawer = ₹5,000.00 + ₹12,000.00 - ₹500.00 - ₹10,000.00 = ₹6,500.00</w:t>
            </w:r>
          </w:p>
        </w:tc>
      </w:tr>
    </w:tbl>
    <w:p>
      <w:pPr>
        <w:spacing w:after="120"/>
      </w:pPr>
    </w:p>
    <w:p>
      <w:pPr>
        <w:pStyle w:val="Heading2"/>
        <w:spacing w:before="280" w:after="120"/>
      </w:pPr>
      <w:r>
        <w:rPr>
          <w:rFonts w:ascii="Segoe UI" w:hAnsi="Segoe UI"/>
          <w:b/>
          <w:color w:val="2563EB"/>
          <w:sz w:val="28"/>
        </w:rPr>
        <w:t>Example 9: First-Expiry, First-Out (FEFO) Stock Allocation</w:t>
      </w:r>
    </w:p>
    <w:p>
      <w:pPr>
        <w:spacing w:after="120" w:line="276" w:lineRule="auto"/>
      </w:pPr>
      <w:r>
        <w:rPr>
          <w:rFonts w:ascii="Segoe UI" w:hAnsi="Segoe UI"/>
          <w:b w:val="0"/>
          <w:i w:val="0"/>
          <w:color w:val="1E293B"/>
          <w:sz w:val="21"/>
        </w:rPr>
        <w:t>Scenario: Customer orders 30 bottles. Warehouse has Batch A (expiring Oct 2026, 20 bottles) and Batch B (expiring Dec 2026, 50 bottles):</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1. Allocate Batch A first (earliest expiry): Take all 20 bottles (Batch A has 0 left)</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2. Remaining bottles needed: 30 - 20 = 10 bottles</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3. Allocate from Batch B: Take 10 bottles (Batch B has 40 bottles left)</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Result: Clean warehouse rotation with zero expired stock accumulation.</w:t>
            </w:r>
          </w:p>
        </w:tc>
      </w:tr>
    </w:tbl>
    <w:p>
      <w:pPr>
        <w:spacing w:after="120"/>
      </w:pPr>
    </w:p>
    <w:p>
      <w:pPr>
        <w:pStyle w:val="Heading2"/>
        <w:spacing w:before="280" w:after="120"/>
      </w:pPr>
      <w:r>
        <w:rPr>
          <w:rFonts w:ascii="Segoe UI" w:hAnsi="Segoe UI"/>
          <w:b/>
          <w:color w:val="2563EB"/>
          <w:sz w:val="28"/>
        </w:rPr>
        <w:t>Example 10: Warehouse Stock Valuation (Average Cost)</w:t>
      </w:r>
    </w:p>
    <w:p>
      <w:pPr>
        <w:spacing w:after="120" w:line="276" w:lineRule="auto"/>
      </w:pPr>
      <w:r>
        <w:rPr>
          <w:rFonts w:ascii="Segoe UI" w:hAnsi="Segoe UI"/>
          <w:b w:val="0"/>
          <w:i w:val="0"/>
          <w:color w:val="1E293B"/>
          <w:sz w:val="21"/>
        </w:rPr>
        <w:t>Consignment 1: 100 strips @ ₹80.00 = ₹8,000.00 | Consignment 2: 200 strips @ ₹85.00 = ₹17,000.00:</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1E293B"/>
                <w:sz w:val="21"/>
              </w:rPr>
              <w:t>Total Stock in Warehouse = 100 + 200 = 300 strips</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Total Valuation = ₹8,000.00 + ₹17,000.00 = ₹25,000.00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Average Cost per Strip = ₹25,000.00 ÷ 300 = ₹83.33 per strip</w:t>
            </w:r>
          </w:p>
        </w:tc>
      </w:tr>
    </w:tbl>
    <w:p>
      <w:pPr>
        <w:spacing w:after="120"/>
      </w:pPr>
    </w:p>
    <w:p>
      <w:pPr>
        <w:pStyle w:val="Heading2"/>
        <w:spacing w:before="280" w:after="120"/>
      </w:pPr>
      <w:r>
        <w:rPr>
          <w:rFonts w:ascii="Segoe UI" w:hAnsi="Segoe UI"/>
          <w:b/>
          <w:color w:val="2563EB"/>
          <w:sz w:val="28"/>
        </w:rPr>
        <w:t>Example 11: Net Monthly GST Payable in GSTR-3B</w:t>
      </w:r>
    </w:p>
    <w:p>
      <w:pPr>
        <w:spacing w:after="120" w:line="276" w:lineRule="auto"/>
      </w:pPr>
      <w:r>
        <w:rPr>
          <w:rFonts w:ascii="Segoe UI" w:hAnsi="Segoe UI"/>
          <w:b w:val="0"/>
          <w:i w:val="0"/>
          <w:color w:val="1E293B"/>
          <w:sz w:val="21"/>
        </w:rPr>
        <w:t>Month-end tax reconciliation:</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Output Tax Collected on Sales = ₹50,000.00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Input Tax Credit (ITC) Paid on Purchases = ₹35,000.00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Net Cash GST to Pay Government = ₹50,000.00 - ₹35,000.00 = ₹15,000.00</w:t>
            </w:r>
          </w:p>
        </w:tc>
      </w:tr>
    </w:tbl>
    <w:p>
      <w:pPr>
        <w:spacing w:after="120"/>
      </w:pPr>
    </w:p>
    <w:p>
      <w:pPr>
        <w:pStyle w:val="Heading2"/>
        <w:spacing w:before="280" w:after="120"/>
      </w:pPr>
      <w:r>
        <w:rPr>
          <w:rFonts w:ascii="Segoe UI" w:hAnsi="Segoe UI"/>
          <w:b/>
          <w:color w:val="2563EB"/>
          <w:sz w:val="28"/>
        </w:rPr>
        <w:t>Example 12: TCS Tax Calculation (Section 206C(1H))</w:t>
      </w:r>
    </w:p>
    <w:p>
      <w:pPr>
        <w:spacing w:after="120" w:line="276" w:lineRule="auto"/>
      </w:pPr>
      <w:r>
        <w:rPr>
          <w:rFonts w:ascii="Segoe UI" w:hAnsi="Segoe UI"/>
          <w:b w:val="0"/>
          <w:i w:val="0"/>
          <w:color w:val="1E293B"/>
          <w:sz w:val="21"/>
        </w:rPr>
        <w:t>Turnover threshold is ₹50 Lakhs. A customer reaches ₹65 Lakhs in annual purchases:</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Turnover Subject to TCS = ₹65,00,000.00 - ₹50,00,000.00 = ₹15,00,000.00</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TCS Tax to Collect (0.1% with PAN) = ₹15,00,000.00 × 0.1% = ₹1,500.00</w:t>
            </w:r>
          </w:p>
        </w:tc>
      </w:tr>
    </w:tbl>
    <w:p>
      <w:pPr>
        <w:spacing w:after="120"/>
      </w:pPr>
    </w:p>
    <w:p>
      <w:pPr>
        <w:pStyle w:val="Heading2"/>
        <w:spacing w:before="280" w:after="120"/>
      </w:pPr>
      <w:r>
        <w:rPr>
          <w:rFonts w:ascii="Segoe UI" w:hAnsi="Segoe UI"/>
          <w:b/>
          <w:color w:val="2563EB"/>
          <w:sz w:val="28"/>
        </w:rPr>
        <w:t>Example 13: Financial Health Ratios</w:t>
      </w:r>
    </w:p>
    <w:tbl>
      <w:tblPr>
        <w:tblW w:type="auto" w:w="0"/>
        <w:jc w:val="center"/>
        <w:tblLayout w:type="fixed"/>
        <w:tblLook w:firstColumn="1" w:firstRow="1" w:lastColumn="0" w:lastRow="0" w:noHBand="0" w:noVBand="1" w:val="04A0"/>
      </w:tblPr>
      <w:tblGrid>
        <w:gridCol w:w="10080"/>
      </w:tblGrid>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1. Current Ratio = Current Assets (₹40L) ÷ Current Liabilities (₹20L) = 2.0 (Healthy benchmark)</w:t>
            </w:r>
          </w:p>
        </w:tc>
      </w:tr>
      <w:tr>
        <w:tc>
          <w:tcPr>
            <w:tcW w:type="dxa" w:w="10080"/>
            <w:shd w:fill="F1F5F9"/>
            <w:tcMar>
              <w:top w:w="60" w:type="dxa"/>
              <w:bottom w:w="60" w:type="dxa"/>
              <w:left w:w="180" w:type="dxa"/>
              <w:right w:w="180" w:type="dxa"/>
            </w:tcMar>
          </w:tcPr>
          <w:p>
            <w:pPr>
              <w:spacing w:after="40" w:before="40"/>
            </w:pPr>
            <w:r>
              <w:rPr>
                <w:rFonts w:ascii="Segoe UI Semibold" w:hAnsi="Segoe UI Semibold"/>
                <w:color w:val="059669"/>
                <w:sz w:val="21"/>
              </w:rPr>
              <w:t>2. Collection Days = (Debtors ₹15L ÷ Sales ₹120L) × 365 = 45.6 days average collection speed</w:t>
            </w:r>
          </w:p>
        </w:tc>
      </w:tr>
    </w:tbl>
    <w:p>
      <w:pPr>
        <w:spacing w:after="120"/>
      </w:pPr>
    </w:p>
    <w:p>
      <w:r>
        <w:br w:type="page"/>
      </w:r>
    </w:p>
    <w:p>
      <w:pPr>
        <w:pStyle w:val="Heading1"/>
        <w:spacing w:before="360" w:after="160"/>
      </w:pPr>
      <w:r>
        <w:rPr>
          <w:rFonts w:ascii="Segoe UI" w:hAnsi="Segoe UI"/>
          <w:b/>
          <w:color w:val="0F172A"/>
          <w:sz w:val="40"/>
        </w:rPr>
        <w:t>PART 3: Step-by-Step Screen Guide &amp; Navigation</w:t>
      </w:r>
    </w:p>
    <w:p>
      <w:pPr>
        <w:spacing w:after="120" w:line="276" w:lineRule="auto"/>
      </w:pPr>
      <w:r>
        <w:rPr>
          <w:rFonts w:ascii="Segoe UI" w:hAnsi="Segoe UI"/>
          <w:b w:val="0"/>
          <w:i w:val="0"/>
          <w:color w:val="1E293B"/>
          <w:sz w:val="21"/>
        </w:rPr>
        <w:t>This section details how to navigate to every page in the ERP, what is displayed, and what actions each button performs.</w:t>
      </w:r>
    </w:p>
    <w:p>
      <w:pPr>
        <w:pStyle w:val="Heading2"/>
        <w:spacing w:before="280" w:after="120"/>
      </w:pPr>
      <w:r>
        <w:rPr>
          <w:rFonts w:ascii="Segoe UI" w:hAnsi="Segoe UI"/>
          <w:b/>
          <w:color w:val="2563EB"/>
          <w:sz w:val="28"/>
        </w:rPr>
        <w:t>1. Executive Dashboard &amp; Settings</w:t>
      </w:r>
    </w:p>
    <w:p>
      <w:pPr>
        <w:pStyle w:val="ListBullet"/>
        <w:spacing w:after="60" w:line="276" w:lineRule="auto"/>
      </w:pPr>
      <w:r>
        <w:rPr>
          <w:rFonts w:ascii="Segoe UI" w:hAnsi="Segoe UI"/>
          <w:b/>
          <w:color w:val="0F172A"/>
          <w:sz w:val="21"/>
        </w:rPr>
        <w:t xml:space="preserve">Dashboard (Home Screen): </w:t>
      </w:r>
      <w:r>
        <w:rPr>
          <w:rFonts w:ascii="Segoe UI" w:hAnsi="Segoe UI"/>
          <w:color w:val="1E293B"/>
          <w:sz w:val="21"/>
        </w:rPr>
        <w:t>Displays today's sales, inward purchases, total customer receivables, supplier payables, and 60-day near-expiry alerts with quick action links.</w:t>
      </w:r>
    </w:p>
    <w:p>
      <w:pPr>
        <w:pStyle w:val="ListBullet"/>
        <w:spacing w:after="60" w:line="276" w:lineRule="auto"/>
      </w:pPr>
      <w:r>
        <w:rPr>
          <w:rFonts w:ascii="Segoe UI" w:hAnsi="Segoe UI"/>
          <w:b/>
          <w:color w:val="0F172A"/>
          <w:sz w:val="21"/>
        </w:rPr>
        <w:t xml:space="preserve">Settings &amp; Company Profile: </w:t>
      </w:r>
      <w:r>
        <w:rPr>
          <w:rFonts w:ascii="Segoe UI" w:hAnsi="Segoe UI"/>
          <w:color w:val="1E293B"/>
          <w:sz w:val="21"/>
        </w:rPr>
        <w:t>Configure legal trading name, GSTIN, Drug License numbers (Form 20B/21B), active financial year boundaries, and laser vs thermal print styling.</w:t>
      </w:r>
    </w:p>
    <w:p>
      <w:pPr>
        <w:pStyle w:val="Heading2"/>
        <w:spacing w:before="280" w:after="120"/>
      </w:pPr>
      <w:r>
        <w:rPr>
          <w:rFonts w:ascii="Segoe UI" w:hAnsi="Segoe UI"/>
          <w:b/>
          <w:color w:val="2563EB"/>
          <w:sz w:val="28"/>
        </w:rPr>
        <w:t>2. Master Data Registers (Catalog &amp; Entities)</w:t>
      </w:r>
    </w:p>
    <w:p>
      <w:pPr>
        <w:pStyle w:val="ListBullet"/>
        <w:spacing w:after="60" w:line="276" w:lineRule="auto"/>
      </w:pPr>
      <w:r>
        <w:rPr>
          <w:rFonts w:ascii="Segoe UI" w:hAnsi="Segoe UI"/>
          <w:b/>
          <w:color w:val="0F172A"/>
          <w:sz w:val="21"/>
        </w:rPr>
        <w:t xml:space="preserve">Item Master (/masters/items): </w:t>
      </w:r>
      <w:r>
        <w:rPr>
          <w:rFonts w:ascii="Segoe UI" w:hAnsi="Segoe UI"/>
          <w:color w:val="1E293B"/>
          <w:sz w:val="21"/>
        </w:rPr>
        <w:t>Browse all medicines, packaging, rates, and stock. Click '+ New Item' to create an SKU; click the Pencil icon to update prices; click 'Export Excel' for a full catalog dump.</w:t>
      </w:r>
    </w:p>
    <w:p>
      <w:pPr>
        <w:pStyle w:val="ListBullet"/>
        <w:spacing w:after="60" w:line="276" w:lineRule="auto"/>
      </w:pPr>
      <w:r>
        <w:rPr>
          <w:rFonts w:ascii="Segoe UI" w:hAnsi="Segoe UI"/>
          <w:b/>
          <w:color w:val="0F172A"/>
          <w:sz w:val="21"/>
        </w:rPr>
        <w:t xml:space="preserve">Item Mapping (/masters/item-mapping): </w:t>
      </w:r>
      <w:r>
        <w:rPr>
          <w:rFonts w:ascii="Segoe UI" w:hAnsi="Segoe UI"/>
          <w:color w:val="1E293B"/>
          <w:sz w:val="21"/>
        </w:rPr>
        <w:t>A wide 18-column spreadsheet view of 11,000+ items featuring a sticky Top Scrollbar and quick-jump buttons to slide across rates, batches, and locations without page reload.</w:t>
      </w:r>
    </w:p>
    <w:p>
      <w:pPr>
        <w:pStyle w:val="ListBullet"/>
        <w:spacing w:after="60" w:line="276" w:lineRule="auto"/>
      </w:pPr>
      <w:r>
        <w:rPr>
          <w:rFonts w:ascii="Segoe UI" w:hAnsi="Segoe UI"/>
          <w:b/>
          <w:color w:val="0F172A"/>
          <w:sz w:val="21"/>
        </w:rPr>
        <w:t xml:space="preserve">Batch Master (/masters/batches): </w:t>
      </w:r>
      <w:r>
        <w:rPr>
          <w:rFonts w:ascii="Segoe UI" w:hAnsi="Segoe UI"/>
          <w:color w:val="1E293B"/>
          <w:sz w:val="21"/>
        </w:rPr>
        <w:t>Manage batch numbers and expiry dates. Features color indicators: Red (expired - billing blocked), Orange (expiring in 60 days), and Green (fresh stock).</w:t>
      </w:r>
    </w:p>
    <w:p>
      <w:pPr>
        <w:pStyle w:val="ListBullet"/>
        <w:spacing w:after="60" w:line="276" w:lineRule="auto"/>
      </w:pPr>
      <w:r>
        <w:rPr>
          <w:rFonts w:ascii="Segoe UI" w:hAnsi="Segoe UI"/>
          <w:b/>
          <w:color w:val="0F172A"/>
          <w:sz w:val="21"/>
        </w:rPr>
        <w:t xml:space="preserve">Party Master (/masters/parties): </w:t>
      </w:r>
      <w:r>
        <w:rPr>
          <w:rFonts w:ascii="Segoe UI" w:hAnsi="Segoe UI"/>
          <w:color w:val="1E293B"/>
          <w:sz w:val="21"/>
        </w:rPr>
        <w:t>Manage chemists and suppliers. Set role to 'Both' for dual-role parties. Click any party name to open Party 360 showing complete payment speed and invoice history.</w:t>
      </w:r>
    </w:p>
    <w:p>
      <w:pPr>
        <w:pStyle w:val="ListBullet"/>
        <w:spacing w:after="60" w:line="276" w:lineRule="auto"/>
      </w:pPr>
      <w:r>
        <w:rPr>
          <w:rFonts w:ascii="Segoe UI" w:hAnsi="Segoe UI"/>
          <w:b/>
          <w:color w:val="0F172A"/>
          <w:sz w:val="21"/>
        </w:rPr>
        <w:t xml:space="preserve">Manufacturer Master (/masters/manufacturers): </w:t>
      </w:r>
      <w:r>
        <w:rPr>
          <w:rFonts w:ascii="Segoe UI" w:hAnsi="Segoe UI"/>
          <w:color w:val="1E293B"/>
          <w:sz w:val="21"/>
        </w:rPr>
        <w:t>Directory of 657 registered agencies (Cipla, Sun Pharma, etc.). Click 'View Medicines' to view all products carried under that manufacturer.</w:t>
      </w:r>
    </w:p>
    <w:p>
      <w:pPr>
        <w:pStyle w:val="ListBullet"/>
        <w:spacing w:after="60" w:line="276" w:lineRule="auto"/>
      </w:pPr>
      <w:r>
        <w:rPr>
          <w:rFonts w:ascii="Segoe UI" w:hAnsi="Segoe UI"/>
          <w:b/>
          <w:color w:val="0F172A"/>
          <w:sz w:val="21"/>
        </w:rPr>
        <w:t xml:space="preserve">Salt / Composition Master (/masters/salts): </w:t>
      </w:r>
      <w:r>
        <w:rPr>
          <w:rFonts w:ascii="Segoe UI" w:hAnsi="Segoe UI"/>
          <w:color w:val="1E293B"/>
          <w:sz w:val="21"/>
        </w:rPr>
        <w:t>Connects trade brand names with generic therapeutic compositions, allowing counter staff to provide therapeutic substitutes when items are out of stock.</w:t>
      </w:r>
    </w:p>
    <w:p>
      <w:pPr>
        <w:pStyle w:val="ListBullet"/>
        <w:spacing w:after="60" w:line="276" w:lineRule="auto"/>
      </w:pPr>
      <w:r>
        <w:rPr>
          <w:rFonts w:ascii="Segoe UI" w:hAnsi="Segoe UI"/>
          <w:b/>
          <w:color w:val="0F172A"/>
          <w:sz w:val="21"/>
        </w:rPr>
        <w:t xml:space="preserve">HSN Master (/masters/hsn): </w:t>
      </w:r>
      <w:r>
        <w:rPr>
          <w:rFonts w:ascii="Segoe UI" w:hAnsi="Segoe UI"/>
          <w:color w:val="1E293B"/>
          <w:sz w:val="21"/>
        </w:rPr>
        <w:t>Statutory HSN tax classifications mapped to official GST slabs (5%, 12%, 18%).</w:t>
      </w:r>
    </w:p>
    <w:p>
      <w:pPr>
        <w:pStyle w:val="Heading2"/>
        <w:spacing w:before="280" w:after="120"/>
      </w:pPr>
      <w:r>
        <w:rPr>
          <w:rFonts w:ascii="Segoe UI" w:hAnsi="Segoe UI"/>
          <w:b/>
          <w:color w:val="2563EB"/>
          <w:sz w:val="28"/>
        </w:rPr>
        <w:t>3. Billing &amp; Transactions (Supply Chain)</w:t>
      </w:r>
    </w:p>
    <w:p>
      <w:pPr>
        <w:pStyle w:val="ListBullet"/>
        <w:spacing w:after="60" w:line="276" w:lineRule="auto"/>
      </w:pPr>
      <w:r>
        <w:rPr>
          <w:rFonts w:ascii="Segoe UI" w:hAnsi="Segoe UI"/>
          <w:b/>
          <w:color w:val="0F172A"/>
          <w:sz w:val="21"/>
        </w:rPr>
        <w:t xml:space="preserve">Sale Entry (/transactions/sales/new - Shortcut F2): </w:t>
      </w:r>
      <w:r>
        <w:rPr>
          <w:rFonts w:ascii="Segoe UI" w:hAnsi="Segoe UI"/>
          <w:color w:val="1E293B"/>
          <w:sz w:val="21"/>
        </w:rPr>
        <w:t>Fast wholesale invoice cutting. Desktop Mode offers rapid Tab/Enter keyboard entry; Mobile Touch Mode provides responsive touch steppers for phones/tablets. Auto-checks stock, blocks expired batches, applies schemes, and prints Onyx tax invoices.</w:t>
      </w:r>
    </w:p>
    <w:p>
      <w:pPr>
        <w:pStyle w:val="ListBullet"/>
        <w:spacing w:after="60" w:line="276" w:lineRule="auto"/>
      </w:pPr>
      <w:r>
        <w:rPr>
          <w:rFonts w:ascii="Segoe UI" w:hAnsi="Segoe UI"/>
          <w:b/>
          <w:color w:val="0F172A"/>
          <w:sz w:val="21"/>
        </w:rPr>
        <w:t xml:space="preserve">Sale Register (/transactions/sales): </w:t>
      </w:r>
      <w:r>
        <w:rPr>
          <w:rFonts w:ascii="Segoe UI" w:hAnsi="Segoe UI"/>
          <w:color w:val="1E293B"/>
          <w:sz w:val="21"/>
        </w:rPr>
        <w:t>Searchable history of all invoices with click-to-view modal, invoice reprint, and manager-authorized cancellation.</w:t>
      </w:r>
    </w:p>
    <w:p>
      <w:pPr>
        <w:pStyle w:val="ListBullet"/>
        <w:spacing w:after="60" w:line="276" w:lineRule="auto"/>
      </w:pPr>
      <w:r>
        <w:rPr>
          <w:rFonts w:ascii="Segoe UI" w:hAnsi="Segoe UI"/>
          <w:b/>
          <w:color w:val="0F172A"/>
          <w:sz w:val="21"/>
        </w:rPr>
        <w:t xml:space="preserve">Counter Sale (/transactions/counter-sale): </w:t>
      </w:r>
      <w:r>
        <w:rPr>
          <w:rFonts w:ascii="Segoe UI" w:hAnsi="Segoe UI"/>
          <w:color w:val="1E293B"/>
          <w:sz w:val="21"/>
        </w:rPr>
        <w:t>Rapid retail POS designed for walk-in cash customers without creating permanent credit ledger accounts.</w:t>
      </w:r>
    </w:p>
    <w:p>
      <w:pPr>
        <w:pStyle w:val="ListBullet"/>
        <w:spacing w:after="60" w:line="276" w:lineRule="auto"/>
      </w:pPr>
      <w:r>
        <w:rPr>
          <w:rFonts w:ascii="Segoe UI" w:hAnsi="Segoe UI"/>
          <w:b/>
          <w:color w:val="0F172A"/>
          <w:sz w:val="21"/>
        </w:rPr>
        <w:t xml:space="preserve">Purchase Entry (/transactions/purchases/new - Shortcut F3): </w:t>
      </w:r>
      <w:r>
        <w:rPr>
          <w:rFonts w:ascii="Segoe UI" w:hAnsi="Segoe UI"/>
          <w:color w:val="1E293B"/>
          <w:sz w:val="21"/>
        </w:rPr>
        <w:t>Stock inward entry. Select supplier, enter physical invoice number/date, record batches, expiry, purchase rates, and MRP. Automatically increments warehouse inventory and updates accounts.</w:t>
      </w:r>
    </w:p>
    <w:p>
      <w:pPr>
        <w:pStyle w:val="ListBullet"/>
        <w:spacing w:after="60" w:line="276" w:lineRule="auto"/>
      </w:pPr>
      <w:r>
        <w:rPr>
          <w:rFonts w:ascii="Segoe UI" w:hAnsi="Segoe UI"/>
          <w:b/>
          <w:color w:val="0F172A"/>
          <w:sz w:val="21"/>
        </w:rPr>
        <w:t xml:space="preserve">Sale Returns (/transactions/sale-return): </w:t>
      </w:r>
      <w:r>
        <w:rPr>
          <w:rFonts w:ascii="Segoe UI" w:hAnsi="Segoe UI"/>
          <w:color w:val="1E293B"/>
          <w:sz w:val="21"/>
        </w:rPr>
        <w:t>Issues Credit Notes for chemist returns, restores stock to warehouse, and adjusts balances.</w:t>
      </w:r>
    </w:p>
    <w:p>
      <w:pPr>
        <w:pStyle w:val="ListBullet"/>
        <w:spacing w:after="60" w:line="276" w:lineRule="auto"/>
      </w:pPr>
      <w:r>
        <w:rPr>
          <w:rFonts w:ascii="Segoe UI" w:hAnsi="Segoe UI"/>
          <w:b/>
          <w:color w:val="0F172A"/>
          <w:sz w:val="21"/>
        </w:rPr>
        <w:t xml:space="preserve">Purchase Returns (/transactions/purchase-return): </w:t>
      </w:r>
      <w:r>
        <w:rPr>
          <w:rFonts w:ascii="Segoe UI" w:hAnsi="Segoe UI"/>
          <w:color w:val="1E293B"/>
          <w:sz w:val="21"/>
        </w:rPr>
        <w:t>Issues Debit Notes for supplier returns (damaged, expired, or recalled medicines).</w:t>
      </w:r>
    </w:p>
    <w:p>
      <w:pPr>
        <w:pStyle w:val="ListBullet"/>
        <w:spacing w:after="60" w:line="276" w:lineRule="auto"/>
      </w:pPr>
      <w:r>
        <w:rPr>
          <w:rFonts w:ascii="Segoe UI" w:hAnsi="Segoe UI"/>
          <w:b/>
          <w:color w:val="0F172A"/>
          <w:sz w:val="21"/>
        </w:rPr>
        <w:t xml:space="preserve">Breakage &amp; Expiry Waste (/transactions/breakages): </w:t>
      </w:r>
      <w:r>
        <w:rPr>
          <w:rFonts w:ascii="Segoe UI" w:hAnsi="Segoe UI"/>
          <w:color w:val="1E293B"/>
          <w:sz w:val="21"/>
        </w:rPr>
        <w:t>Deducts unsellable, broken, or expired medicines from stock into the Breakage Loss Account for tax write-off.</w:t>
      </w:r>
    </w:p>
    <w:p>
      <w:pPr>
        <w:pStyle w:val="Heading2"/>
        <w:spacing w:before="280" w:after="120"/>
      </w:pPr>
      <w:r>
        <w:rPr>
          <w:rFonts w:ascii="Segoe UI" w:hAnsi="Segoe UI"/>
          <w:b/>
          <w:color w:val="2563EB"/>
          <w:sz w:val="28"/>
        </w:rPr>
        <w:t>4. Inventory &amp; Warehouse Governance</w:t>
      </w:r>
    </w:p>
    <w:p>
      <w:pPr>
        <w:pStyle w:val="ListBullet"/>
        <w:spacing w:after="60" w:line="276" w:lineRule="auto"/>
      </w:pPr>
      <w:r>
        <w:rPr>
          <w:rFonts w:ascii="Segoe UI" w:hAnsi="Segoe UI"/>
          <w:b/>
          <w:color w:val="0F172A"/>
          <w:sz w:val="21"/>
        </w:rPr>
        <w:t xml:space="preserve">Stock View (/inventory/stock): </w:t>
      </w:r>
      <w:r>
        <w:rPr>
          <w:rFonts w:ascii="Segoe UI" w:hAnsi="Segoe UI"/>
          <w:color w:val="1E293B"/>
          <w:sz w:val="21"/>
        </w:rPr>
        <w:t>Live stock counts across all medicines with cost valuation and MRP valuation totals.</w:t>
      </w:r>
    </w:p>
    <w:p>
      <w:pPr>
        <w:pStyle w:val="ListBullet"/>
        <w:spacing w:after="60" w:line="276" w:lineRule="auto"/>
      </w:pPr>
      <w:r>
        <w:rPr>
          <w:rFonts w:ascii="Segoe UI" w:hAnsi="Segoe UI"/>
          <w:b/>
          <w:color w:val="0F172A"/>
          <w:sz w:val="21"/>
        </w:rPr>
        <w:t xml:space="preserve">Stock Movements (/inventory/movements): </w:t>
      </w:r>
      <w:r>
        <w:rPr>
          <w:rFonts w:ascii="Segoe UI" w:hAnsi="Segoe UI"/>
          <w:color w:val="1E293B"/>
          <w:sz w:val="21"/>
        </w:rPr>
        <w:t>Item-level audit diary showing Opening Stock -&gt; Purchases -&gt; Sales -&gt; Returns -&gt; Current Balance.</w:t>
      </w:r>
    </w:p>
    <w:p>
      <w:pPr>
        <w:pStyle w:val="ListBullet"/>
        <w:spacing w:after="60" w:line="276" w:lineRule="auto"/>
      </w:pPr>
      <w:r>
        <w:rPr>
          <w:rFonts w:ascii="Segoe UI" w:hAnsi="Segoe UI"/>
          <w:b/>
          <w:color w:val="0F172A"/>
          <w:sz w:val="21"/>
        </w:rPr>
        <w:t xml:space="preserve">Stock Ageing (/inventory/ageing): </w:t>
      </w:r>
      <w:r>
        <w:rPr>
          <w:rFonts w:ascii="Segoe UI" w:hAnsi="Segoe UI"/>
          <w:color w:val="1E293B"/>
          <w:sz w:val="21"/>
        </w:rPr>
        <w:t>Divides stock into holding duration buckets (0-30, 31-60, 61-90, 90+ days) to prevent dead-stock accumulation.</w:t>
      </w:r>
    </w:p>
    <w:p>
      <w:pPr>
        <w:pStyle w:val="ListBullet"/>
        <w:spacing w:after="60" w:line="276" w:lineRule="auto"/>
      </w:pPr>
      <w:r>
        <w:rPr>
          <w:rFonts w:ascii="Segoe UI" w:hAnsi="Segoe UI"/>
          <w:b/>
          <w:color w:val="0F172A"/>
          <w:sz w:val="21"/>
        </w:rPr>
        <w:t xml:space="preserve">Hold &amp; Banned Drugs (/inventory/hold-ban): </w:t>
      </w:r>
      <w:r>
        <w:rPr>
          <w:rFonts w:ascii="Segoe UI" w:hAnsi="Segoe UI"/>
          <w:color w:val="1E293B"/>
          <w:sz w:val="21"/>
        </w:rPr>
        <w:t>Flags government-recalled or banned medicine batches and freezes them from counter billing.</w:t>
      </w:r>
    </w:p>
    <w:p>
      <w:pPr>
        <w:pStyle w:val="Heading2"/>
        <w:spacing w:before="280" w:after="120"/>
      </w:pPr>
      <w:r>
        <w:rPr>
          <w:rFonts w:ascii="Segoe UI" w:hAnsi="Segoe UI"/>
          <w:b/>
          <w:color w:val="2563EB"/>
          <w:sz w:val="28"/>
        </w:rPr>
        <w:t>5. Pricing, Schemes &amp; Profit Margins</w:t>
      </w:r>
    </w:p>
    <w:p>
      <w:pPr>
        <w:pStyle w:val="ListBullet"/>
        <w:spacing w:after="60" w:line="276" w:lineRule="auto"/>
      </w:pPr>
      <w:r>
        <w:rPr>
          <w:rFonts w:ascii="Segoe UI" w:hAnsi="Segoe UI"/>
          <w:b/>
          <w:color w:val="0F172A"/>
          <w:sz w:val="21"/>
        </w:rPr>
        <w:t xml:space="preserve">Schemes &amp; Margins (/pricing/schemes): </w:t>
      </w:r>
      <w:r>
        <w:rPr>
          <w:rFonts w:ascii="Segoe UI" w:hAnsi="Segoe UI"/>
          <w:color w:val="1E293B"/>
          <w:sz w:val="21"/>
        </w:rPr>
        <w:t>Live catalog margin percentages. Click 'Configure Scheme Deal' to create 10+1 free schemes or trade discount percentages that apply automatically during billing.</w:t>
      </w:r>
    </w:p>
    <w:p>
      <w:pPr>
        <w:pStyle w:val="Heading2"/>
        <w:spacing w:before="280" w:after="120"/>
      </w:pPr>
      <w:r>
        <w:rPr>
          <w:rFonts w:ascii="Segoe UI" w:hAnsi="Segoe UI"/>
          <w:b/>
          <w:color w:val="2563EB"/>
          <w:sz w:val="28"/>
        </w:rPr>
        <w:t>6. Financial Accounting (Marg Parity)</w:t>
      </w:r>
    </w:p>
    <w:p>
      <w:pPr>
        <w:pStyle w:val="ListBullet"/>
        <w:spacing w:after="60" w:line="276" w:lineRule="auto"/>
      </w:pPr>
      <w:r>
        <w:rPr>
          <w:rFonts w:ascii="Segoe UI" w:hAnsi="Segoe UI"/>
          <w:b/>
          <w:color w:val="0F172A"/>
          <w:sz w:val="21"/>
        </w:rPr>
        <w:t xml:space="preserve">Chart of Accounts (/masters/ledgers): </w:t>
      </w:r>
      <w:r>
        <w:rPr>
          <w:rFonts w:ascii="Segoe UI" w:hAnsi="Segoe UI"/>
          <w:color w:val="1E293B"/>
          <w:sz w:val="21"/>
        </w:rPr>
        <w:t>Organized into 74 standard Marg accounting groups. Includes 'Purge Zero Accounts' button to hide dormant zero-balance ledgers.</w:t>
      </w:r>
    </w:p>
    <w:p>
      <w:pPr>
        <w:pStyle w:val="ListBullet"/>
        <w:spacing w:after="60" w:line="276" w:lineRule="auto"/>
      </w:pPr>
      <w:r>
        <w:rPr>
          <w:rFonts w:ascii="Segoe UI" w:hAnsi="Segoe UI"/>
          <w:b/>
          <w:color w:val="0F172A"/>
          <w:sz w:val="21"/>
        </w:rPr>
        <w:t xml:space="preserve">Ledger Statements (/accounting/ledgers): </w:t>
      </w:r>
      <w:r>
        <w:rPr>
          <w:rFonts w:ascii="Segoe UI" w:hAnsi="Segoe UI"/>
          <w:color w:val="1E293B"/>
          <w:sz w:val="21"/>
        </w:rPr>
        <w:t>Detailed customer/supplier statements with running balance. Click on any transaction line to open the original invoice.</w:t>
      </w:r>
    </w:p>
    <w:p>
      <w:pPr>
        <w:pStyle w:val="ListBullet"/>
        <w:spacing w:after="60" w:line="276" w:lineRule="auto"/>
      </w:pPr>
      <w:r>
        <w:rPr>
          <w:rFonts w:ascii="Segoe UI" w:hAnsi="Segoe UI"/>
          <w:b/>
          <w:color w:val="0F172A"/>
          <w:sz w:val="21"/>
        </w:rPr>
        <w:t xml:space="preserve">Voucher Entry (/accounting/vouchers): </w:t>
      </w:r>
      <w:r>
        <w:rPr>
          <w:rFonts w:ascii="Segoe UI" w:hAnsi="Segoe UI"/>
          <w:color w:val="1E293B"/>
          <w:sz w:val="21"/>
        </w:rPr>
        <w:t>Record financial entries with physical voucher slip numbers: F5 (Payment), F6 (Receipt), F7 (Contra / Bank deposit), F8 (Journal).</w:t>
      </w:r>
    </w:p>
    <w:p>
      <w:pPr>
        <w:pStyle w:val="ListBullet"/>
        <w:spacing w:after="60" w:line="276" w:lineRule="auto"/>
      </w:pPr>
      <w:r>
        <w:rPr>
          <w:rFonts w:ascii="Segoe UI" w:hAnsi="Segoe UI"/>
          <w:b/>
          <w:color w:val="0F172A"/>
          <w:sz w:val="21"/>
        </w:rPr>
        <w:t xml:space="preserve">Day Book (/accounting/day-book): </w:t>
      </w:r>
      <w:r>
        <w:rPr>
          <w:rFonts w:ascii="Segoe UI" w:hAnsi="Segoe UI"/>
          <w:color w:val="1E293B"/>
          <w:sz w:val="21"/>
        </w:rPr>
        <w:t>Daily cash and credit diary used for evening cash drawer reconciliation.</w:t>
      </w:r>
    </w:p>
    <w:p>
      <w:pPr>
        <w:pStyle w:val="Heading2"/>
        <w:spacing w:before="280" w:after="120"/>
      </w:pPr>
      <w:r>
        <w:rPr>
          <w:rFonts w:ascii="Segoe UI" w:hAnsi="Segoe UI"/>
          <w:b/>
          <w:color w:val="2563EB"/>
          <w:sz w:val="28"/>
        </w:rPr>
        <w:t>7. Executive Financial Reports &amp; Analytics</w:t>
      </w:r>
    </w:p>
    <w:p>
      <w:pPr>
        <w:pStyle w:val="ListBullet"/>
        <w:spacing w:after="60" w:line="276" w:lineRule="auto"/>
      </w:pPr>
      <w:r>
        <w:rPr>
          <w:rFonts w:ascii="Segoe UI" w:hAnsi="Segoe UI"/>
          <w:b/>
          <w:color w:val="0F172A"/>
          <w:sz w:val="21"/>
        </w:rPr>
        <w:t xml:space="preserve">Trial Balance (/reports/trial-balance): </w:t>
      </w:r>
      <w:r>
        <w:rPr>
          <w:rFonts w:ascii="Segoe UI" w:hAnsi="Segoe UI"/>
          <w:color w:val="1E293B"/>
          <w:sz w:val="21"/>
        </w:rPr>
        <w:t>Verifies that total debits mathematically equal total credits across all accounts.</w:t>
      </w:r>
    </w:p>
    <w:p>
      <w:pPr>
        <w:pStyle w:val="ListBullet"/>
        <w:spacing w:after="60" w:line="276" w:lineRule="auto"/>
      </w:pPr>
      <w:r>
        <w:rPr>
          <w:rFonts w:ascii="Segoe UI" w:hAnsi="Segoe UI"/>
          <w:b/>
          <w:color w:val="0F172A"/>
          <w:sz w:val="21"/>
        </w:rPr>
        <w:t xml:space="preserve">Profit &amp; Loss Statement (/reports/profit-loss): </w:t>
      </w:r>
      <w:r>
        <w:rPr>
          <w:rFonts w:ascii="Segoe UI" w:hAnsi="Segoe UI"/>
          <w:color w:val="1E293B"/>
          <w:sz w:val="21"/>
        </w:rPr>
        <w:t>Calculates Gross Sales less COGS = Gross Profit less Operating Expenses = Net Profit.</w:t>
      </w:r>
    </w:p>
    <w:p>
      <w:pPr>
        <w:pStyle w:val="ListBullet"/>
        <w:spacing w:after="60" w:line="276" w:lineRule="auto"/>
      </w:pPr>
      <w:r>
        <w:rPr>
          <w:rFonts w:ascii="Segoe UI" w:hAnsi="Segoe UI"/>
          <w:b/>
          <w:color w:val="0F172A"/>
          <w:sz w:val="21"/>
        </w:rPr>
        <w:t xml:space="preserve">Balance Sheet (/reports/balance-sheet): </w:t>
      </w:r>
      <w:r>
        <w:rPr>
          <w:rFonts w:ascii="Segoe UI" w:hAnsi="Segoe UI"/>
          <w:color w:val="1E293B"/>
          <w:sz w:val="21"/>
        </w:rPr>
        <w:t>Verifies Total Assets = Capital + Liabilities.</w:t>
      </w:r>
    </w:p>
    <w:p>
      <w:pPr>
        <w:pStyle w:val="ListBullet"/>
        <w:spacing w:after="60" w:line="276" w:lineRule="auto"/>
      </w:pPr>
      <w:r>
        <w:rPr>
          <w:rFonts w:ascii="Segoe UI" w:hAnsi="Segoe UI"/>
          <w:b/>
          <w:color w:val="0F172A"/>
          <w:sz w:val="21"/>
        </w:rPr>
        <w:t xml:space="preserve">Sales Analytics (/reports/sales-analytics): </w:t>
      </w:r>
      <w:r>
        <w:rPr>
          <w:rFonts w:ascii="Segoe UI" w:hAnsi="Segoe UI"/>
          <w:color w:val="1E293B"/>
          <w:sz w:val="21"/>
        </w:rPr>
        <w:t>Identifies top 20% chemists generating 80% of revenue and fastest-moving therapeutic lines.</w:t>
      </w:r>
    </w:p>
    <w:p>
      <w:pPr>
        <w:pStyle w:val="Heading2"/>
        <w:spacing w:before="280" w:after="120"/>
      </w:pPr>
      <w:r>
        <w:rPr>
          <w:rFonts w:ascii="Segoe UI" w:hAnsi="Segoe UI"/>
          <w:b/>
          <w:color w:val="2563EB"/>
          <w:sz w:val="28"/>
        </w:rPr>
        <w:t>8. Statutory GST Compliance</w:t>
      </w:r>
    </w:p>
    <w:p>
      <w:pPr>
        <w:pStyle w:val="ListBullet"/>
        <w:spacing w:after="60" w:line="276" w:lineRule="auto"/>
      </w:pPr>
      <w:r>
        <w:rPr>
          <w:rFonts w:ascii="Segoe UI" w:hAnsi="Segoe UI"/>
          <w:b/>
          <w:color w:val="0F172A"/>
          <w:sz w:val="21"/>
        </w:rPr>
        <w:t xml:space="preserve">GST Overview (/gst/reports): </w:t>
      </w:r>
      <w:r>
        <w:rPr>
          <w:rFonts w:ascii="Segoe UI" w:hAnsi="Segoe UI"/>
          <w:color w:val="1E293B"/>
          <w:sz w:val="21"/>
        </w:rPr>
        <w:t>Real-time summary of sales tax collected, purchase tax credit, and net tax payable.</w:t>
      </w:r>
    </w:p>
    <w:p>
      <w:pPr>
        <w:pStyle w:val="ListBullet"/>
        <w:spacing w:after="60" w:line="276" w:lineRule="auto"/>
      </w:pPr>
      <w:r>
        <w:rPr>
          <w:rFonts w:ascii="Segoe UI" w:hAnsi="Segoe UI"/>
          <w:b/>
          <w:color w:val="0F172A"/>
          <w:sz w:val="21"/>
        </w:rPr>
        <w:t xml:space="preserve">GSTR-3B Monthly Return (/gst/gstr-3b): </w:t>
      </w:r>
      <w:r>
        <w:rPr>
          <w:rFonts w:ascii="Segoe UI" w:hAnsi="Segoe UI"/>
          <w:color w:val="1E293B"/>
          <w:sz w:val="21"/>
        </w:rPr>
        <w:t>Consolidated monthly tax return tables with 1-click Excel export for your CA.</w:t>
      </w:r>
    </w:p>
    <w:p>
      <w:pPr>
        <w:pStyle w:val="ListBullet"/>
        <w:spacing w:after="60" w:line="276" w:lineRule="auto"/>
      </w:pPr>
      <w:r>
        <w:rPr>
          <w:rFonts w:ascii="Segoe UI" w:hAnsi="Segoe UI"/>
          <w:b/>
          <w:color w:val="0F172A"/>
          <w:sz w:val="21"/>
        </w:rPr>
        <w:t xml:space="preserve">GSTR Reconciliation (/gst/reconciliation): </w:t>
      </w:r>
      <w:r>
        <w:rPr>
          <w:rFonts w:ascii="Segoe UI" w:hAnsi="Segoe UI"/>
          <w:color w:val="1E293B"/>
          <w:sz w:val="21"/>
        </w:rPr>
        <w:t>Reconciliation comparing supplier purchase entries with portal GSTR-2B data.</w:t>
      </w:r>
    </w:p>
    <w:p>
      <w:pPr>
        <w:pStyle w:val="ListBullet"/>
        <w:spacing w:after="60" w:line="276" w:lineRule="auto"/>
      </w:pPr>
      <w:r>
        <w:rPr>
          <w:rFonts w:ascii="Segoe UI" w:hAnsi="Segoe UI"/>
          <w:b/>
          <w:color w:val="0F172A"/>
          <w:sz w:val="21"/>
        </w:rPr>
        <w:t xml:space="preserve">E-Invoice &amp; E-Way Bill (/gst/e-invoice): </w:t>
      </w:r>
      <w:r>
        <w:rPr>
          <w:rFonts w:ascii="Segoe UI" w:hAnsi="Segoe UI"/>
          <w:color w:val="1E293B"/>
          <w:sz w:val="21"/>
        </w:rPr>
        <w:t>Formats government-compliant payloads for generating IRN QR codes and E-Way Bills.</w:t>
      </w:r>
    </w:p>
    <w:p>
      <w:r>
        <w:br w:type="page"/>
      </w:r>
    </w:p>
    <w:p>
      <w:pPr>
        <w:pStyle w:val="Heading1"/>
        <w:spacing w:before="360" w:after="160"/>
      </w:pPr>
      <w:r>
        <w:rPr>
          <w:rFonts w:ascii="Segoe UI" w:hAnsi="Segoe UI"/>
          <w:b/>
          <w:color w:val="0F172A"/>
          <w:sz w:val="40"/>
        </w:rPr>
        <w:t>PART 4: Counter Speed Keys &amp; Keyboard Shortcuts</w:t>
      </w:r>
    </w:p>
    <w:p>
      <w:pPr>
        <w:spacing w:after="120" w:line="276" w:lineRule="auto"/>
      </w:pPr>
      <w:r>
        <w:rPr>
          <w:rFonts w:ascii="Segoe UI" w:hAnsi="Segoe UI"/>
          <w:b w:val="0"/>
          <w:i w:val="0"/>
          <w:color w:val="1E293B"/>
          <w:sz w:val="21"/>
        </w:rPr>
        <w:t>To ensure counter staff achieve maximum billing velocity without touching the mouse, standard wholesale keyboard accelerators are supported:</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0F172A"/>
            <w:tcMar>
              <w:top w:w="100" w:type="dxa"/>
              <w:bottom w:w="100" w:type="dxa"/>
              <w:left w:w="120" w:type="dxa"/>
              <w:right w:w="120" w:type="dxa"/>
            </w:tcMar>
          </w:tcPr>
          <w:p>
            <w:pPr>
              <w:jc w:val="left"/>
            </w:pPr>
            <w:r>
              <w:rPr>
                <w:rFonts w:ascii="Segoe UI" w:hAnsi="Segoe UI"/>
                <w:b/>
                <w:color w:val="FFFFFF"/>
                <w:sz w:val="20"/>
              </w:rPr>
              <w:t>Key</w:t>
            </w:r>
          </w:p>
        </w:tc>
        <w:tc>
          <w:tcPr>
            <w:tcW w:type="dxa" w:w="2880"/>
            <w:shd w:fill="0F172A"/>
            <w:tcMar>
              <w:top w:w="100" w:type="dxa"/>
              <w:bottom w:w="100" w:type="dxa"/>
              <w:left w:w="120" w:type="dxa"/>
              <w:right w:w="120" w:type="dxa"/>
            </w:tcMar>
          </w:tcPr>
          <w:p>
            <w:pPr>
              <w:jc w:val="left"/>
            </w:pPr>
            <w:r>
              <w:rPr>
                <w:rFonts w:ascii="Segoe UI" w:hAnsi="Segoe UI"/>
                <w:b/>
                <w:color w:val="FFFFFF"/>
                <w:sz w:val="20"/>
              </w:rPr>
              <w:t>Context / Scope</w:t>
            </w:r>
          </w:p>
        </w:tc>
        <w:tc>
          <w:tcPr>
            <w:tcW w:type="dxa" w:w="5040"/>
            <w:shd w:fill="0F172A"/>
            <w:tcMar>
              <w:top w:w="100" w:type="dxa"/>
              <w:bottom w:w="100" w:type="dxa"/>
              <w:left w:w="120" w:type="dxa"/>
              <w:right w:w="120" w:type="dxa"/>
            </w:tcMar>
          </w:tcPr>
          <w:p>
            <w:pPr>
              <w:jc w:val="left"/>
            </w:pPr>
            <w:r>
              <w:rPr>
                <w:rFonts w:ascii="Segoe UI" w:hAnsi="Segoe UI"/>
                <w:b/>
                <w:color w:val="FFFFFF"/>
                <w:sz w:val="20"/>
              </w:rPr>
              <w:t>Operational Action</w:t>
            </w:r>
          </w:p>
        </w:tc>
      </w:tr>
      <w:tr>
        <w:tc>
          <w:tcPr>
            <w:tcW w:type="dxa" w:w="2160"/>
            <w:shd w:fill="FFFFFF"/>
            <w:tcMar>
              <w:top w:w="80" w:type="dxa"/>
              <w:bottom w:w="80" w:type="dxa"/>
              <w:left w:w="120" w:type="dxa"/>
              <w:right w:w="120" w:type="dxa"/>
            </w:tcMar>
          </w:tcPr>
          <w:p>
            <w:r>
              <w:rPr>
                <w:rFonts w:ascii="Segoe UI" w:hAnsi="Segoe UI"/>
                <w:color w:val="1E293B"/>
                <w:sz w:val="19"/>
              </w:rPr>
              <w:t>F2</w:t>
            </w:r>
          </w:p>
        </w:tc>
        <w:tc>
          <w:tcPr>
            <w:tcW w:type="dxa" w:w="2880"/>
            <w:shd w:fill="FFFFFF"/>
            <w:tcMar>
              <w:top w:w="80" w:type="dxa"/>
              <w:bottom w:w="80" w:type="dxa"/>
              <w:left w:w="120" w:type="dxa"/>
              <w:right w:w="120" w:type="dxa"/>
            </w:tcMar>
          </w:tcPr>
          <w:p>
            <w:r>
              <w:rPr>
                <w:rFonts w:ascii="Segoe UI" w:hAnsi="Segoe UI"/>
                <w:color w:val="1E293B"/>
                <w:sz w:val="19"/>
              </w:rPr>
              <w:t>Global Shortcut</w:t>
            </w:r>
          </w:p>
        </w:tc>
        <w:tc>
          <w:tcPr>
            <w:tcW w:type="dxa" w:w="5040"/>
            <w:shd w:fill="FFFFFF"/>
            <w:tcMar>
              <w:top w:w="80" w:type="dxa"/>
              <w:bottom w:w="80" w:type="dxa"/>
              <w:left w:w="120" w:type="dxa"/>
              <w:right w:w="120" w:type="dxa"/>
            </w:tcMar>
          </w:tcPr>
          <w:p>
            <w:r>
              <w:rPr>
                <w:rFonts w:ascii="Segoe UI" w:hAnsi="Segoe UI"/>
                <w:color w:val="1E293B"/>
                <w:sz w:val="19"/>
              </w:rPr>
              <w:t>Open New Sale Bill immediately</w:t>
            </w:r>
          </w:p>
        </w:tc>
      </w:tr>
      <w:tr>
        <w:tc>
          <w:tcPr>
            <w:tcW w:type="dxa" w:w="2160"/>
            <w:shd w:fill="F8FAFC"/>
            <w:tcMar>
              <w:top w:w="80" w:type="dxa"/>
              <w:bottom w:w="80" w:type="dxa"/>
              <w:left w:w="120" w:type="dxa"/>
              <w:right w:w="120" w:type="dxa"/>
            </w:tcMar>
          </w:tcPr>
          <w:p>
            <w:r>
              <w:rPr>
                <w:rFonts w:ascii="Segoe UI" w:hAnsi="Segoe UI"/>
                <w:color w:val="1E293B"/>
                <w:sz w:val="19"/>
              </w:rPr>
              <w:t>F3</w:t>
            </w:r>
          </w:p>
        </w:tc>
        <w:tc>
          <w:tcPr>
            <w:tcW w:type="dxa" w:w="2880"/>
            <w:shd w:fill="F8FAFC"/>
            <w:tcMar>
              <w:top w:w="80" w:type="dxa"/>
              <w:bottom w:w="80" w:type="dxa"/>
              <w:left w:w="120" w:type="dxa"/>
              <w:right w:w="120" w:type="dxa"/>
            </w:tcMar>
          </w:tcPr>
          <w:p>
            <w:r>
              <w:rPr>
                <w:rFonts w:ascii="Segoe UI" w:hAnsi="Segoe UI"/>
                <w:color w:val="1E293B"/>
                <w:sz w:val="19"/>
              </w:rPr>
              <w:t>Global Shortcut</w:t>
            </w:r>
          </w:p>
        </w:tc>
        <w:tc>
          <w:tcPr>
            <w:tcW w:type="dxa" w:w="5040"/>
            <w:shd w:fill="F8FAFC"/>
            <w:tcMar>
              <w:top w:w="80" w:type="dxa"/>
              <w:bottom w:w="80" w:type="dxa"/>
              <w:left w:w="120" w:type="dxa"/>
              <w:right w:w="120" w:type="dxa"/>
            </w:tcMar>
          </w:tcPr>
          <w:p>
            <w:r>
              <w:rPr>
                <w:rFonts w:ascii="Segoe UI" w:hAnsi="Segoe UI"/>
                <w:color w:val="1E293B"/>
                <w:sz w:val="19"/>
              </w:rPr>
              <w:t>Open New Purchase Entry immediately</w:t>
            </w:r>
          </w:p>
        </w:tc>
      </w:tr>
      <w:tr>
        <w:tc>
          <w:tcPr>
            <w:tcW w:type="dxa" w:w="2160"/>
            <w:shd w:fill="FFFFFF"/>
            <w:tcMar>
              <w:top w:w="80" w:type="dxa"/>
              <w:bottom w:w="80" w:type="dxa"/>
              <w:left w:w="120" w:type="dxa"/>
              <w:right w:w="120" w:type="dxa"/>
            </w:tcMar>
          </w:tcPr>
          <w:p>
            <w:r>
              <w:rPr>
                <w:rFonts w:ascii="Segoe UI" w:hAnsi="Segoe UI"/>
                <w:color w:val="1E293B"/>
                <w:sz w:val="19"/>
              </w:rPr>
              <w:t>F5</w:t>
            </w:r>
          </w:p>
        </w:tc>
        <w:tc>
          <w:tcPr>
            <w:tcW w:type="dxa" w:w="2880"/>
            <w:shd w:fill="FFFFFF"/>
            <w:tcMar>
              <w:top w:w="80" w:type="dxa"/>
              <w:bottom w:w="80" w:type="dxa"/>
              <w:left w:w="120" w:type="dxa"/>
              <w:right w:w="120" w:type="dxa"/>
            </w:tcMar>
          </w:tcPr>
          <w:p>
            <w:r>
              <w:rPr>
                <w:rFonts w:ascii="Segoe UI" w:hAnsi="Segoe UI"/>
                <w:color w:val="1E293B"/>
                <w:sz w:val="19"/>
              </w:rPr>
              <w:t>Accounting</w:t>
            </w:r>
          </w:p>
        </w:tc>
        <w:tc>
          <w:tcPr>
            <w:tcW w:type="dxa" w:w="5040"/>
            <w:shd w:fill="FFFFFF"/>
            <w:tcMar>
              <w:top w:w="80" w:type="dxa"/>
              <w:bottom w:w="80" w:type="dxa"/>
              <w:left w:w="120" w:type="dxa"/>
              <w:right w:w="120" w:type="dxa"/>
            </w:tcMar>
          </w:tcPr>
          <w:p>
            <w:r>
              <w:rPr>
                <w:rFonts w:ascii="Segoe UI" w:hAnsi="Segoe UI"/>
                <w:color w:val="1E293B"/>
                <w:sz w:val="19"/>
              </w:rPr>
              <w:t>Open Voucher Entry in Payment Mode</w:t>
            </w:r>
          </w:p>
        </w:tc>
      </w:tr>
      <w:tr>
        <w:tc>
          <w:tcPr>
            <w:tcW w:type="dxa" w:w="2160"/>
            <w:shd w:fill="F8FAFC"/>
            <w:tcMar>
              <w:top w:w="80" w:type="dxa"/>
              <w:bottom w:w="80" w:type="dxa"/>
              <w:left w:w="120" w:type="dxa"/>
              <w:right w:w="120" w:type="dxa"/>
            </w:tcMar>
          </w:tcPr>
          <w:p>
            <w:r>
              <w:rPr>
                <w:rFonts w:ascii="Segoe UI" w:hAnsi="Segoe UI"/>
                <w:color w:val="1E293B"/>
                <w:sz w:val="19"/>
              </w:rPr>
              <w:t>F6</w:t>
            </w:r>
          </w:p>
        </w:tc>
        <w:tc>
          <w:tcPr>
            <w:tcW w:type="dxa" w:w="2880"/>
            <w:shd w:fill="F8FAFC"/>
            <w:tcMar>
              <w:top w:w="80" w:type="dxa"/>
              <w:bottom w:w="80" w:type="dxa"/>
              <w:left w:w="120" w:type="dxa"/>
              <w:right w:w="120" w:type="dxa"/>
            </w:tcMar>
          </w:tcPr>
          <w:p>
            <w:r>
              <w:rPr>
                <w:rFonts w:ascii="Segoe UI" w:hAnsi="Segoe UI"/>
                <w:color w:val="1E293B"/>
                <w:sz w:val="19"/>
              </w:rPr>
              <w:t>Accounting</w:t>
            </w:r>
          </w:p>
        </w:tc>
        <w:tc>
          <w:tcPr>
            <w:tcW w:type="dxa" w:w="5040"/>
            <w:shd w:fill="F8FAFC"/>
            <w:tcMar>
              <w:top w:w="80" w:type="dxa"/>
              <w:bottom w:w="80" w:type="dxa"/>
              <w:left w:w="120" w:type="dxa"/>
              <w:right w:w="120" w:type="dxa"/>
            </w:tcMar>
          </w:tcPr>
          <w:p>
            <w:r>
              <w:rPr>
                <w:rFonts w:ascii="Segoe UI" w:hAnsi="Segoe UI"/>
                <w:color w:val="1E293B"/>
                <w:sz w:val="19"/>
              </w:rPr>
              <w:t>Switch Voucher to Receipt Mode</w:t>
            </w:r>
          </w:p>
        </w:tc>
      </w:tr>
      <w:tr>
        <w:tc>
          <w:tcPr>
            <w:tcW w:type="dxa" w:w="2160"/>
            <w:shd w:fill="FFFFFF"/>
            <w:tcMar>
              <w:top w:w="80" w:type="dxa"/>
              <w:bottom w:w="80" w:type="dxa"/>
              <w:left w:w="120" w:type="dxa"/>
              <w:right w:w="120" w:type="dxa"/>
            </w:tcMar>
          </w:tcPr>
          <w:p>
            <w:r>
              <w:rPr>
                <w:rFonts w:ascii="Segoe UI" w:hAnsi="Segoe UI"/>
                <w:color w:val="1E293B"/>
                <w:sz w:val="19"/>
              </w:rPr>
              <w:t>F7</w:t>
            </w:r>
          </w:p>
        </w:tc>
        <w:tc>
          <w:tcPr>
            <w:tcW w:type="dxa" w:w="2880"/>
            <w:shd w:fill="FFFFFF"/>
            <w:tcMar>
              <w:top w:w="80" w:type="dxa"/>
              <w:bottom w:w="80" w:type="dxa"/>
              <w:left w:w="120" w:type="dxa"/>
              <w:right w:w="120" w:type="dxa"/>
            </w:tcMar>
          </w:tcPr>
          <w:p>
            <w:r>
              <w:rPr>
                <w:rFonts w:ascii="Segoe UI" w:hAnsi="Segoe UI"/>
                <w:color w:val="1E293B"/>
                <w:sz w:val="19"/>
              </w:rPr>
              <w:t>Accounting</w:t>
            </w:r>
          </w:p>
        </w:tc>
        <w:tc>
          <w:tcPr>
            <w:tcW w:type="dxa" w:w="5040"/>
            <w:shd w:fill="FFFFFF"/>
            <w:tcMar>
              <w:top w:w="80" w:type="dxa"/>
              <w:bottom w:w="80" w:type="dxa"/>
              <w:left w:w="120" w:type="dxa"/>
              <w:right w:w="120" w:type="dxa"/>
            </w:tcMar>
          </w:tcPr>
          <w:p>
            <w:r>
              <w:rPr>
                <w:rFonts w:ascii="Segoe UI" w:hAnsi="Segoe UI"/>
                <w:color w:val="1E293B"/>
                <w:sz w:val="19"/>
              </w:rPr>
              <w:t>Switch Voucher to Contra (Bank Deposit) Mode</w:t>
            </w:r>
          </w:p>
        </w:tc>
      </w:tr>
      <w:tr>
        <w:tc>
          <w:tcPr>
            <w:tcW w:type="dxa" w:w="2160"/>
            <w:shd w:fill="F8FAFC"/>
            <w:tcMar>
              <w:top w:w="80" w:type="dxa"/>
              <w:bottom w:w="80" w:type="dxa"/>
              <w:left w:w="120" w:type="dxa"/>
              <w:right w:w="120" w:type="dxa"/>
            </w:tcMar>
          </w:tcPr>
          <w:p>
            <w:r>
              <w:rPr>
                <w:rFonts w:ascii="Segoe UI" w:hAnsi="Segoe UI"/>
                <w:color w:val="1E293B"/>
                <w:sz w:val="19"/>
              </w:rPr>
              <w:t>F8</w:t>
            </w:r>
          </w:p>
        </w:tc>
        <w:tc>
          <w:tcPr>
            <w:tcW w:type="dxa" w:w="2880"/>
            <w:shd w:fill="F8FAFC"/>
            <w:tcMar>
              <w:top w:w="80" w:type="dxa"/>
              <w:bottom w:w="80" w:type="dxa"/>
              <w:left w:w="120" w:type="dxa"/>
              <w:right w:w="120" w:type="dxa"/>
            </w:tcMar>
          </w:tcPr>
          <w:p>
            <w:r>
              <w:rPr>
                <w:rFonts w:ascii="Segoe UI" w:hAnsi="Segoe UI"/>
                <w:color w:val="1E293B"/>
                <w:sz w:val="19"/>
              </w:rPr>
              <w:t>Accounting</w:t>
            </w:r>
          </w:p>
        </w:tc>
        <w:tc>
          <w:tcPr>
            <w:tcW w:type="dxa" w:w="5040"/>
            <w:shd w:fill="F8FAFC"/>
            <w:tcMar>
              <w:top w:w="80" w:type="dxa"/>
              <w:bottom w:w="80" w:type="dxa"/>
              <w:left w:w="120" w:type="dxa"/>
              <w:right w:w="120" w:type="dxa"/>
            </w:tcMar>
          </w:tcPr>
          <w:p>
            <w:r>
              <w:rPr>
                <w:rFonts w:ascii="Segoe UI" w:hAnsi="Segoe UI"/>
                <w:color w:val="1E293B"/>
                <w:sz w:val="19"/>
              </w:rPr>
              <w:t>Switch Voucher to Journal Mode</w:t>
            </w:r>
          </w:p>
        </w:tc>
      </w:tr>
      <w:tr>
        <w:tc>
          <w:tcPr>
            <w:tcW w:type="dxa" w:w="2160"/>
            <w:shd w:fill="FFFFFF"/>
            <w:tcMar>
              <w:top w:w="80" w:type="dxa"/>
              <w:bottom w:w="80" w:type="dxa"/>
              <w:left w:w="120" w:type="dxa"/>
              <w:right w:w="120" w:type="dxa"/>
            </w:tcMar>
          </w:tcPr>
          <w:p>
            <w:r>
              <w:rPr>
                <w:rFonts w:ascii="Segoe UI" w:hAnsi="Segoe UI"/>
                <w:color w:val="1E293B"/>
                <w:sz w:val="19"/>
              </w:rPr>
              <w:t>Ctrl + S</w:t>
            </w:r>
          </w:p>
        </w:tc>
        <w:tc>
          <w:tcPr>
            <w:tcW w:type="dxa" w:w="2880"/>
            <w:shd w:fill="FFFFFF"/>
            <w:tcMar>
              <w:top w:w="80" w:type="dxa"/>
              <w:bottom w:w="80" w:type="dxa"/>
              <w:left w:w="120" w:type="dxa"/>
              <w:right w:w="120" w:type="dxa"/>
            </w:tcMar>
          </w:tcPr>
          <w:p>
            <w:r>
              <w:rPr>
                <w:rFonts w:ascii="Segoe UI" w:hAnsi="Segoe UI"/>
                <w:color w:val="1E293B"/>
                <w:sz w:val="19"/>
              </w:rPr>
              <w:t>Transaction Forms</w:t>
            </w:r>
          </w:p>
        </w:tc>
        <w:tc>
          <w:tcPr>
            <w:tcW w:type="dxa" w:w="5040"/>
            <w:shd w:fill="FFFFFF"/>
            <w:tcMar>
              <w:top w:w="80" w:type="dxa"/>
              <w:bottom w:w="80" w:type="dxa"/>
              <w:left w:w="120" w:type="dxa"/>
              <w:right w:w="120" w:type="dxa"/>
            </w:tcMar>
          </w:tcPr>
          <w:p>
            <w:r>
              <w:rPr>
                <w:rFonts w:ascii="Segoe UI" w:hAnsi="Segoe UI"/>
                <w:color w:val="1E293B"/>
                <w:sz w:val="19"/>
              </w:rPr>
              <w:t>Save and commit current invoice or voucher</w:t>
            </w:r>
          </w:p>
        </w:tc>
      </w:tr>
      <w:tr>
        <w:tc>
          <w:tcPr>
            <w:tcW w:type="dxa" w:w="2160"/>
            <w:shd w:fill="F8FAFC"/>
            <w:tcMar>
              <w:top w:w="80" w:type="dxa"/>
              <w:bottom w:w="80" w:type="dxa"/>
              <w:left w:w="120" w:type="dxa"/>
              <w:right w:w="120" w:type="dxa"/>
            </w:tcMar>
          </w:tcPr>
          <w:p>
            <w:r>
              <w:rPr>
                <w:rFonts w:ascii="Segoe UI" w:hAnsi="Segoe UI"/>
                <w:color w:val="1E293B"/>
                <w:sz w:val="19"/>
              </w:rPr>
              <w:t>Ctrl + P</w:t>
            </w:r>
          </w:p>
        </w:tc>
        <w:tc>
          <w:tcPr>
            <w:tcW w:type="dxa" w:w="2880"/>
            <w:shd w:fill="F8FAFC"/>
            <w:tcMar>
              <w:top w:w="80" w:type="dxa"/>
              <w:bottom w:w="80" w:type="dxa"/>
              <w:left w:w="120" w:type="dxa"/>
              <w:right w:w="120" w:type="dxa"/>
            </w:tcMar>
          </w:tcPr>
          <w:p>
            <w:r>
              <w:rPr>
                <w:rFonts w:ascii="Segoe UI" w:hAnsi="Segoe UI"/>
                <w:color w:val="1E293B"/>
                <w:sz w:val="19"/>
              </w:rPr>
              <w:t>Transaction Forms</w:t>
            </w:r>
          </w:p>
        </w:tc>
        <w:tc>
          <w:tcPr>
            <w:tcW w:type="dxa" w:w="5040"/>
            <w:shd w:fill="F8FAFC"/>
            <w:tcMar>
              <w:top w:w="80" w:type="dxa"/>
              <w:bottom w:w="80" w:type="dxa"/>
              <w:left w:w="120" w:type="dxa"/>
              <w:right w:w="120" w:type="dxa"/>
            </w:tcMar>
          </w:tcPr>
          <w:p>
            <w:r>
              <w:rPr>
                <w:rFonts w:ascii="Segoe UI" w:hAnsi="Segoe UI"/>
                <w:color w:val="1E293B"/>
                <w:sz w:val="19"/>
              </w:rPr>
              <w:t>Save and immediately trigger Onyx Print dialog</w:t>
            </w:r>
          </w:p>
        </w:tc>
      </w:tr>
      <w:tr>
        <w:tc>
          <w:tcPr>
            <w:tcW w:type="dxa" w:w="2160"/>
            <w:shd w:fill="FFFFFF"/>
            <w:tcMar>
              <w:top w:w="80" w:type="dxa"/>
              <w:bottom w:w="80" w:type="dxa"/>
              <w:left w:w="120" w:type="dxa"/>
              <w:right w:w="120" w:type="dxa"/>
            </w:tcMar>
          </w:tcPr>
          <w:p>
            <w:r>
              <w:rPr>
                <w:rFonts w:ascii="Segoe UI" w:hAnsi="Segoe UI"/>
                <w:color w:val="1E293B"/>
                <w:sz w:val="19"/>
              </w:rPr>
              <w:t>Tab</w:t>
            </w:r>
          </w:p>
        </w:tc>
        <w:tc>
          <w:tcPr>
            <w:tcW w:type="dxa" w:w="2880"/>
            <w:shd w:fill="FFFFFF"/>
            <w:tcMar>
              <w:top w:w="80" w:type="dxa"/>
              <w:bottom w:w="80" w:type="dxa"/>
              <w:left w:w="120" w:type="dxa"/>
              <w:right w:w="120" w:type="dxa"/>
            </w:tcMar>
          </w:tcPr>
          <w:p>
            <w:r>
              <w:rPr>
                <w:rFonts w:ascii="Segoe UI" w:hAnsi="Segoe UI"/>
                <w:color w:val="1E293B"/>
                <w:sz w:val="19"/>
              </w:rPr>
              <w:t>Grid Rows</w:t>
            </w:r>
          </w:p>
        </w:tc>
        <w:tc>
          <w:tcPr>
            <w:tcW w:type="dxa" w:w="5040"/>
            <w:shd w:fill="FFFFFF"/>
            <w:tcMar>
              <w:top w:w="80" w:type="dxa"/>
              <w:bottom w:w="80" w:type="dxa"/>
              <w:left w:w="120" w:type="dxa"/>
              <w:right w:w="120" w:type="dxa"/>
            </w:tcMar>
          </w:tcPr>
          <w:p>
            <w:r>
              <w:rPr>
                <w:rFonts w:ascii="Segoe UI" w:hAnsi="Segoe UI"/>
                <w:color w:val="1E293B"/>
                <w:sz w:val="19"/>
              </w:rPr>
              <w:t>Advance to the next cell in the billing row</w:t>
            </w:r>
          </w:p>
        </w:tc>
      </w:tr>
      <w:tr>
        <w:tc>
          <w:tcPr>
            <w:tcW w:type="dxa" w:w="2160"/>
            <w:shd w:fill="F8FAFC"/>
            <w:tcMar>
              <w:top w:w="80" w:type="dxa"/>
              <w:bottom w:w="80" w:type="dxa"/>
              <w:left w:w="120" w:type="dxa"/>
              <w:right w:w="120" w:type="dxa"/>
            </w:tcMar>
          </w:tcPr>
          <w:p>
            <w:r>
              <w:rPr>
                <w:rFonts w:ascii="Segoe UI" w:hAnsi="Segoe UI"/>
                <w:color w:val="1E293B"/>
                <w:sz w:val="19"/>
              </w:rPr>
              <w:t>Enter</w:t>
            </w:r>
          </w:p>
        </w:tc>
        <w:tc>
          <w:tcPr>
            <w:tcW w:type="dxa" w:w="2880"/>
            <w:shd w:fill="F8FAFC"/>
            <w:tcMar>
              <w:top w:w="80" w:type="dxa"/>
              <w:bottom w:w="80" w:type="dxa"/>
              <w:left w:w="120" w:type="dxa"/>
              <w:right w:w="120" w:type="dxa"/>
            </w:tcMar>
          </w:tcPr>
          <w:p>
            <w:r>
              <w:rPr>
                <w:rFonts w:ascii="Segoe UI" w:hAnsi="Segoe UI"/>
                <w:color w:val="1E293B"/>
                <w:sz w:val="19"/>
              </w:rPr>
              <w:t>Grid Final Column</w:t>
            </w:r>
          </w:p>
        </w:tc>
        <w:tc>
          <w:tcPr>
            <w:tcW w:type="dxa" w:w="5040"/>
            <w:shd w:fill="F8FAFC"/>
            <w:tcMar>
              <w:top w:w="80" w:type="dxa"/>
              <w:bottom w:w="80" w:type="dxa"/>
              <w:left w:w="120" w:type="dxa"/>
              <w:right w:w="120" w:type="dxa"/>
            </w:tcMar>
          </w:tcPr>
          <w:p>
            <w:r>
              <w:rPr>
                <w:rFonts w:ascii="Segoe UI" w:hAnsi="Segoe UI"/>
                <w:color w:val="1E293B"/>
                <w:sz w:val="19"/>
              </w:rPr>
              <w:t>Append a new row and focus item selector</w:t>
            </w:r>
          </w:p>
        </w:tc>
      </w:tr>
      <w:tr>
        <w:tc>
          <w:tcPr>
            <w:tcW w:type="dxa" w:w="2160"/>
            <w:shd w:fill="FFFFFF"/>
            <w:tcMar>
              <w:top w:w="80" w:type="dxa"/>
              <w:bottom w:w="80" w:type="dxa"/>
              <w:left w:w="120" w:type="dxa"/>
              <w:right w:w="120" w:type="dxa"/>
            </w:tcMar>
          </w:tcPr>
          <w:p>
            <w:r>
              <w:rPr>
                <w:rFonts w:ascii="Segoe UI" w:hAnsi="Segoe UI"/>
                <w:color w:val="1E293B"/>
                <w:sz w:val="19"/>
              </w:rPr>
              <w:t>Esc</w:t>
            </w:r>
          </w:p>
        </w:tc>
        <w:tc>
          <w:tcPr>
            <w:tcW w:type="dxa" w:w="2880"/>
            <w:shd w:fill="FFFFFF"/>
            <w:tcMar>
              <w:top w:w="80" w:type="dxa"/>
              <w:bottom w:w="80" w:type="dxa"/>
              <w:left w:w="120" w:type="dxa"/>
              <w:right w:w="120" w:type="dxa"/>
            </w:tcMar>
          </w:tcPr>
          <w:p>
            <w:r>
              <w:rPr>
                <w:rFonts w:ascii="Segoe UI" w:hAnsi="Segoe UI"/>
                <w:color w:val="1E293B"/>
                <w:sz w:val="19"/>
              </w:rPr>
              <w:t>Modals / Dialogs</w:t>
            </w:r>
          </w:p>
        </w:tc>
        <w:tc>
          <w:tcPr>
            <w:tcW w:type="dxa" w:w="5040"/>
            <w:shd w:fill="FFFFFF"/>
            <w:tcMar>
              <w:top w:w="80" w:type="dxa"/>
              <w:bottom w:w="80" w:type="dxa"/>
              <w:left w:w="120" w:type="dxa"/>
              <w:right w:w="120" w:type="dxa"/>
            </w:tcMar>
          </w:tcPr>
          <w:p>
            <w:r>
              <w:rPr>
                <w:rFonts w:ascii="Segoe UI" w:hAnsi="Segoe UI"/>
                <w:color w:val="1E293B"/>
                <w:sz w:val="19"/>
              </w:rPr>
              <w:t>Close active popup window or cancel</w:t>
            </w:r>
          </w:p>
        </w:tc>
      </w:tr>
      <w:tr>
        <w:tc>
          <w:tcPr>
            <w:tcW w:type="dxa" w:w="2160"/>
            <w:shd w:fill="F8FAFC"/>
            <w:tcMar>
              <w:top w:w="80" w:type="dxa"/>
              <w:bottom w:w="80" w:type="dxa"/>
              <w:left w:w="120" w:type="dxa"/>
              <w:right w:w="120" w:type="dxa"/>
            </w:tcMar>
          </w:tcPr>
          <w:p>
            <w:r>
              <w:rPr>
                <w:rFonts w:ascii="Segoe UI" w:hAnsi="Segoe UI"/>
                <w:color w:val="1E293B"/>
                <w:sz w:val="19"/>
              </w:rPr>
              <w:t>Ctrl + F</w:t>
            </w:r>
          </w:p>
        </w:tc>
        <w:tc>
          <w:tcPr>
            <w:tcW w:type="dxa" w:w="2880"/>
            <w:shd w:fill="F8FAFC"/>
            <w:tcMar>
              <w:top w:w="80" w:type="dxa"/>
              <w:bottom w:w="80" w:type="dxa"/>
              <w:left w:w="120" w:type="dxa"/>
              <w:right w:w="120" w:type="dxa"/>
            </w:tcMar>
          </w:tcPr>
          <w:p>
            <w:r>
              <w:rPr>
                <w:rFonts w:ascii="Segoe UI" w:hAnsi="Segoe UI"/>
                <w:color w:val="1E293B"/>
                <w:sz w:val="19"/>
              </w:rPr>
              <w:t>Tables &amp; Lists</w:t>
            </w:r>
          </w:p>
        </w:tc>
        <w:tc>
          <w:tcPr>
            <w:tcW w:type="dxa" w:w="5040"/>
            <w:shd w:fill="F8FAFC"/>
            <w:tcMar>
              <w:top w:w="80" w:type="dxa"/>
              <w:bottom w:w="80" w:type="dxa"/>
              <w:left w:w="120" w:type="dxa"/>
              <w:right w:w="120" w:type="dxa"/>
            </w:tcMar>
          </w:tcPr>
          <w:p>
            <w:r>
              <w:rPr>
                <w:rFonts w:ascii="Segoe UI" w:hAnsi="Segoe UI"/>
                <w:color w:val="1E293B"/>
                <w:sz w:val="19"/>
              </w:rPr>
              <w:t>Focus search input box immediately</w:t>
            </w:r>
          </w:p>
        </w:tc>
      </w:tr>
    </w:tbl>
    <w:p>
      <w:pPr>
        <w:spacing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