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FA" w:rsidRDefault="00682FFA"/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401BA6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Rebanadora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682FFA" w:rsidP="00EF7AF5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todo las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rebanadoras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>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401BA6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Que la rebanadora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y des energizada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Desarme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EF5D26" w:rsidRPr="00C66474" w:rsidRDefault="00401BA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Retire la cubierta de seguridad </w:t>
            </w:r>
            <w:r w:rsidR="000E70B2">
              <w:rPr>
                <w:rFonts w:ascii="Arial" w:eastAsia="Times New Roman" w:hAnsi="Arial" w:cs="Arial"/>
                <w:szCs w:val="24"/>
                <w:lang w:eastAsia="es-PA"/>
              </w:rPr>
              <w:t xml:space="preserve">y </w:t>
            </w:r>
            <w:r w:rsidR="00446BC1">
              <w:rPr>
                <w:rFonts w:ascii="Arial" w:eastAsia="Times New Roman" w:hAnsi="Arial" w:cs="Arial"/>
                <w:szCs w:val="24"/>
                <w:lang w:eastAsia="es-PA"/>
              </w:rPr>
              <w:t xml:space="preserve">abra </w:t>
            </w:r>
            <w:r w:rsidR="000E70B2">
              <w:rPr>
                <w:rFonts w:ascii="Arial" w:eastAsia="Times New Roman" w:hAnsi="Arial" w:cs="Arial"/>
                <w:szCs w:val="24"/>
                <w:lang w:eastAsia="es-PA"/>
              </w:rPr>
              <w:t xml:space="preserve">la </w:t>
            </w:r>
            <w:r w:rsidR="00446BC1">
              <w:rPr>
                <w:rFonts w:ascii="Arial" w:eastAsia="Times New Roman" w:hAnsi="Arial" w:cs="Arial"/>
                <w:szCs w:val="24"/>
                <w:lang w:eastAsia="es-PA"/>
              </w:rPr>
              <w:t xml:space="preserve">cubierta de la </w:t>
            </w:r>
            <w:r w:rsidR="000E70B2">
              <w:rPr>
                <w:rFonts w:ascii="Arial" w:eastAsia="Times New Roman" w:hAnsi="Arial" w:cs="Arial"/>
                <w:szCs w:val="24"/>
                <w:lang w:eastAsia="es-PA"/>
              </w:rPr>
              <w:t xml:space="preserve">cuchilla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de la rebanadora</w:t>
            </w:r>
            <w:r w:rsidR="00EF5D26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</w:tcPr>
          <w:p w:rsidR="00EF5D26" w:rsidRDefault="00EF5D26" w:rsidP="00EF5D26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0E70B2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Barrer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0E70B2" w:rsidP="000E70B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</w:t>
            </w:r>
            <w:r w:rsidR="004B46F0">
              <w:rPr>
                <w:rFonts w:ascii="Arial" w:eastAsia="Times New Roman" w:hAnsi="Arial" w:cs="Arial"/>
                <w:szCs w:val="24"/>
                <w:lang w:eastAsia="es-PA"/>
              </w:rPr>
              <w:t xml:space="preserve">etire los residuos de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producto</w:t>
            </w:r>
            <w:r w:rsidR="004B46F0">
              <w:rPr>
                <w:rFonts w:ascii="Arial" w:eastAsia="Times New Roman" w:hAnsi="Arial" w:cs="Arial"/>
                <w:szCs w:val="24"/>
                <w:lang w:eastAsia="es-PA"/>
              </w:rPr>
              <w:t xml:space="preserve"> que se adhieren a la superficie del equipo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el espumador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446BC1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fibra</w:t>
            </w:r>
            <w:r w:rsidR="00446BC1">
              <w:rPr>
                <w:rFonts w:ascii="Arial" w:eastAsia="Times New Roman" w:hAnsi="Arial" w:cs="Arial"/>
                <w:szCs w:val="24"/>
                <w:lang w:eastAsia="es-PA"/>
              </w:rPr>
              <w:t xml:space="preserve"> abrasiva toda la superficie de la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446BC1">
              <w:rPr>
                <w:rFonts w:ascii="Arial" w:eastAsia="Times New Roman" w:hAnsi="Arial" w:cs="Arial"/>
                <w:szCs w:val="24"/>
                <w:lang w:eastAsia="es-PA"/>
              </w:rPr>
              <w:t>rebanadora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0E70B2">
              <w:rPr>
                <w:rFonts w:ascii="Arial" w:eastAsia="Times New Roman" w:hAnsi="Arial" w:cs="Arial"/>
                <w:szCs w:val="24"/>
                <w:lang w:eastAsia="es-PA"/>
              </w:rPr>
              <w:t>la superficie de</w:t>
            </w:r>
            <w:r w:rsidR="00446BC1">
              <w:rPr>
                <w:rFonts w:ascii="Arial" w:eastAsia="Times New Roman" w:hAnsi="Arial" w:cs="Arial"/>
                <w:szCs w:val="24"/>
                <w:lang w:eastAsia="es-PA"/>
              </w:rPr>
              <w:t xml:space="preserve"> la rebanadora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Cs w:val="24"/>
                <w:lang w:eastAsia="es-PA"/>
              </w:rPr>
              <w:t>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2AB" w:rsidRDefault="00F862AB" w:rsidP="000D14B1">
      <w:pPr>
        <w:spacing w:after="0" w:line="240" w:lineRule="auto"/>
      </w:pPr>
      <w:r>
        <w:separator/>
      </w:r>
    </w:p>
  </w:endnote>
  <w:endnote w:type="continuationSeparator" w:id="0">
    <w:p w:rsidR="00F862AB" w:rsidRDefault="00F862AB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2AB" w:rsidRDefault="00F862AB" w:rsidP="000D14B1">
      <w:pPr>
        <w:spacing w:after="0" w:line="240" w:lineRule="auto"/>
      </w:pPr>
      <w:r>
        <w:separator/>
      </w:r>
    </w:p>
  </w:footnote>
  <w:footnote w:type="continuationSeparator" w:id="0">
    <w:p w:rsidR="00F862AB" w:rsidRDefault="00F862AB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D14B1"/>
    <w:rsid w:val="000E70B2"/>
    <w:rsid w:val="001321B4"/>
    <w:rsid w:val="001546F5"/>
    <w:rsid w:val="001A0274"/>
    <w:rsid w:val="00223789"/>
    <w:rsid w:val="00266D9F"/>
    <w:rsid w:val="00302838"/>
    <w:rsid w:val="003102F8"/>
    <w:rsid w:val="00395FAD"/>
    <w:rsid w:val="003D7102"/>
    <w:rsid w:val="003F7CF1"/>
    <w:rsid w:val="00401BA6"/>
    <w:rsid w:val="00427514"/>
    <w:rsid w:val="00446BC1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82FFA"/>
    <w:rsid w:val="00692DC2"/>
    <w:rsid w:val="006B4B90"/>
    <w:rsid w:val="006B4FFE"/>
    <w:rsid w:val="006B768B"/>
    <w:rsid w:val="006E4E79"/>
    <w:rsid w:val="006F47B6"/>
    <w:rsid w:val="007A232A"/>
    <w:rsid w:val="007A2DAE"/>
    <w:rsid w:val="007A462D"/>
    <w:rsid w:val="007C1B28"/>
    <w:rsid w:val="007D620A"/>
    <w:rsid w:val="007F3204"/>
    <w:rsid w:val="008013DF"/>
    <w:rsid w:val="00812448"/>
    <w:rsid w:val="009755AE"/>
    <w:rsid w:val="009A55A2"/>
    <w:rsid w:val="009D3A0F"/>
    <w:rsid w:val="00A03F1C"/>
    <w:rsid w:val="00AC496F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C617B"/>
    <w:rsid w:val="00CD6067"/>
    <w:rsid w:val="00D241A9"/>
    <w:rsid w:val="00DE5536"/>
    <w:rsid w:val="00E07C38"/>
    <w:rsid w:val="00E674D8"/>
    <w:rsid w:val="00EE71F9"/>
    <w:rsid w:val="00EF5D26"/>
    <w:rsid w:val="00EF7AF5"/>
    <w:rsid w:val="00F17A1D"/>
    <w:rsid w:val="00F73FBB"/>
    <w:rsid w:val="00F862A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8D68-3840-48B0-B52E-5003658B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409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7</cp:revision>
  <cp:lastPrinted>2018-07-16T17:01:00Z</cp:lastPrinted>
  <dcterms:created xsi:type="dcterms:W3CDTF">2019-05-25T18:19:00Z</dcterms:created>
  <dcterms:modified xsi:type="dcterms:W3CDTF">2019-05-26T16:59:00Z</dcterms:modified>
</cp:coreProperties>
</file>