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Ahoden Elite Clean Product Requirements Document</w:t>
      </w:r>
    </w:p>
    <w:p>
      <w:r>
        <w:t>Product specification and delivery plan</w:t>
      </w:r>
    </w:p>
    <w:p>
      <w:r>
        <w:t>Cleaning service booking and operations management system</w:t>
      </w:r>
    </w:p>
    <w:p>
      <w:r>
        <w:t>Version 1.0  |  10 October 2026  |  Status: For client approval</w:t>
      </w:r>
    </w:p>
    <w:p>
      <w:r>
        <w:t>This document defines the features, user permissions, technical architecture, delivery plan and acceptance criteria for the Ahoden Elite Clean web platform. It provides a baseline for design and development, with outstanding business decisions identified in Section 12. Development is provided pro bono; external service costs and ongoing support require separate agreement.</w:t>
      </w:r>
    </w:p>
    <w:p>
      <w:pPr>
        <w:pStyle w:val="Heading1"/>
      </w:pPr>
      <w:r>
        <w:t>1 Executive summary</w:t>
      </w:r>
    </w:p>
    <w:p>
      <w:r>
        <w:t>Build a responsive web application for Ahoden Elite Clean, initially serving Accra in Greater Accra, Ghana. Customers discover cleaning services, obtain pricing, book and pay online; cleaners record attendance and proof of work; management oversees jobs, payments, customer satisfaction, stock and controls. The platform comprises a public website, customer booking experience, mobile-friendly cleaner portal, manager workspace and owner dashboard. Initial operating capacity is planned around 5 cleaners and 1 operations manager, with support for additional staff as the business grows.</w:t>
      </w:r>
    </w:p>
    <w:tbl>
      <w:tblPr>
        <w:tblStyle w:val="LightShading-Accent1"/>
        <w:tblW w:type="auto" w:w="0"/>
        <w:jc w:val="center"/>
        <w:tblLook w:firstColumn="1" w:firstRow="1" w:lastColumn="0" w:lastRow="0" w:noHBand="0" w:noVBand="1" w:val="04A0"/>
      </w:tblPr>
      <w:tblGrid>
        <w:gridCol w:w="4320"/>
        <w:gridCol w:w="4320"/>
      </w:tblGrid>
      <w:tr>
        <w:trPr>
          <w:tblHeader/>
          <w:cantSplit/>
        </w:trPr>
        <w:tc>
          <w:tcPr>
            <w:tcW w:type="dxa" w:w="4320"/>
          </w:tcPr>
          <w:p>
            <w:r>
              <w:rPr>
                <w:sz w:val="16"/>
              </w:rPr>
              <w:t>Project parameter</w:t>
            </w:r>
          </w:p>
        </w:tc>
        <w:tc>
          <w:tcPr>
            <w:tcW w:type="dxa" w:w="4320"/>
          </w:tcPr>
          <w:p>
            <w:r>
              <w:rPr>
                <w:sz w:val="16"/>
              </w:rPr>
              <w:t>Proposed / confirmed position</w:t>
            </w:r>
          </w:p>
        </w:tc>
      </w:tr>
      <w:tr>
        <w:trPr>
          <w:cantSplit/>
        </w:trPr>
        <w:tc>
          <w:tcPr>
            <w:tcW w:type="dxa" w:w="4320"/>
          </w:tcPr>
          <w:p>
            <w:r>
              <w:rPr>
                <w:sz w:val="16"/>
              </w:rPr>
              <w:t>Client</w:t>
            </w:r>
          </w:p>
        </w:tc>
        <w:tc>
          <w:tcPr>
            <w:tcW w:type="dxa" w:w="4320"/>
          </w:tcPr>
          <w:p>
            <w:r>
              <w:rPr>
                <w:sz w:val="16"/>
              </w:rPr>
              <w:t>Ahoden Elite Clean</w:t>
            </w:r>
          </w:p>
        </w:tc>
      </w:tr>
      <w:tr>
        <w:trPr>
          <w:cantSplit/>
        </w:trPr>
        <w:tc>
          <w:tcPr>
            <w:tcW w:type="dxa" w:w="4320"/>
          </w:tcPr>
          <w:p>
            <w:r>
              <w:rPr>
                <w:sz w:val="16"/>
              </w:rPr>
              <w:t>Target market</w:t>
            </w:r>
          </w:p>
        </w:tc>
        <w:tc>
          <w:tcPr>
            <w:tcW w:type="dxa" w:w="4320"/>
          </w:tcPr>
          <w:p>
            <w:r>
              <w:t>Accra / Greater Accra, Ghana; GHS checkout baseline; USD checkout remains pending</w:t>
            </w:r>
          </w:p>
        </w:tc>
      </w:tr>
      <w:tr>
        <w:trPr>
          <w:cantSplit/>
        </w:trPr>
        <w:tc>
          <w:tcPr>
            <w:tcW w:type="dxa" w:w="4320"/>
          </w:tcPr>
          <w:p>
            <w:r>
              <w:rPr>
                <w:sz w:val="16"/>
              </w:rPr>
              <w:t>Target delivery</w:t>
            </w:r>
          </w:p>
        </w:tc>
        <w:tc>
          <w:tcPr>
            <w:tcW w:type="dxa" w:w="4320"/>
          </w:tcPr>
          <w:p>
            <w:r>
              <w:rPr>
                <w:sz w:val="16"/>
              </w:rPr>
              <w:t>Approximately 3 months, subject to scope and team availability</w:t>
            </w:r>
          </w:p>
        </w:tc>
      </w:tr>
      <w:tr>
        <w:trPr>
          <w:cantSplit/>
        </w:trPr>
        <w:tc>
          <w:tcPr>
            <w:tcW w:type="dxa" w:w="4320"/>
          </w:tcPr>
          <w:p>
            <w:r>
              <w:rPr>
                <w:sz w:val="16"/>
              </w:rPr>
              <w:t>Client top priorities</w:t>
            </w:r>
          </w:p>
        </w:tc>
        <w:tc>
          <w:tcPr>
            <w:tcW w:type="dxa" w:w="4320"/>
          </w:tcPr>
          <w:p>
            <w:r>
              <w:rPr>
                <w:sz w:val="16"/>
              </w:rPr>
              <w:t>Customer booking; owner dashboard; security</w:t>
            </w:r>
          </w:p>
        </w:tc>
      </w:tr>
      <w:tr>
        <w:trPr>
          <w:cantSplit/>
        </w:trPr>
        <w:tc>
          <w:tcPr>
            <w:tcW w:type="dxa" w:w="4320"/>
          </w:tcPr>
          <w:p>
            <w:r>
              <w:rPr>
                <w:sz w:val="16"/>
              </w:rPr>
              <w:t>Development fee</w:t>
            </w:r>
          </w:p>
        </w:tc>
        <w:tc>
          <w:tcPr>
            <w:tcW w:type="dxa" w:w="4320"/>
          </w:tcPr>
          <w:p>
            <w:r>
              <w:rPr>
                <w:sz w:val="16"/>
              </w:rPr>
              <w:t>Waived / pro bono; external services and operating costs excluded</w:t>
            </w:r>
          </w:p>
        </w:tc>
      </w:tr>
      <w:tr>
        <w:trPr>
          <w:cantSplit/>
        </w:trPr>
        <w:tc>
          <w:tcPr>
            <w:tcW w:type="dxa" w:w="4320"/>
          </w:tcPr>
          <w:p>
            <w:r>
              <w:rPr>
                <w:sz w:val="16"/>
              </w:rPr>
              <w:t>Product format</w:t>
            </w:r>
          </w:p>
        </w:tc>
        <w:tc>
          <w:tcPr>
            <w:tcW w:type="dxa" w:w="4320"/>
          </w:tcPr>
          <w:p>
            <w:r>
              <w:t>Responsive website and web app, including a mobile-friendly cleaner portal</w:t>
            </w:r>
          </w:p>
        </w:tc>
      </w:tr>
    </w:tbl>
    <w:p>
      <w:pPr>
        <w:pStyle w:val="Heading1"/>
      </w:pPr>
      <w:r>
        <w:t>2 Objectives and success criteria</w:t>
      </w:r>
    </w:p>
    <w:p>
      <w:pPr>
        <w:pStyle w:val="ListBullet"/>
      </w:pPr>
      <w:r>
        <w:t>Allow a customer to select service, address, date/time, see price, pay and receive a confirmed booking.</w:t>
      </w:r>
    </w:p>
    <w:p>
      <w:pPr>
        <w:pStyle w:val="ListBullet"/>
      </w:pPr>
      <w:r>
        <w:t>Ensure successful provider-confirmed payments are linked to the correct job; unpaid/failed jobs are clearly flagged.</w:t>
      </w:r>
    </w:p>
    <w:p>
      <w:pPr>
        <w:pStyle w:val="ListBullet"/>
      </w:pPr>
      <w:r>
        <w:t>Give the owner reliable visibility into jobs, revenue, refunds, discounts, attendance and complaints.</w:t>
      </w:r>
    </w:p>
    <w:p>
      <w:pPr>
        <w:pStyle w:val="ListBullet"/>
      </w:pPr>
      <w:r>
        <w:t>Provide tamper-resistant audit history and role-based access, with owner approval for sensitive actions.</w:t>
      </w:r>
    </w:p>
    <w:p>
      <w:pPr>
        <w:pStyle w:val="ListBullet"/>
      </w:pPr>
      <w:r>
        <w:t>Allow staff to clock in/out at job locations and upload before/after evidence.</w:t>
      </w:r>
    </w:p>
    <w:p>
      <w:r>
        <w:t>Acceptance targets (proposed): no booking marked paid solely from a browser redirect; no unauthorized refund/price approval; mobile workflows work on common browsers; critical user journeys pass end-to-end tests; backup restore is demonstrated before launch.</w:t>
      </w:r>
    </w:p>
    <w:p>
      <w:pPr>
        <w:pStyle w:val="Heading1"/>
      </w:pPr>
      <w:r>
        <w:t>3 User roles and permissions</w:t>
      </w:r>
    </w:p>
    <w:tbl>
      <w:tblPr>
        <w:tblStyle w:val="LightShading-Accent1"/>
        <w:tblW w:type="auto" w:w="0"/>
        <w:jc w:val="center"/>
        <w:tblLook w:firstColumn="1" w:firstRow="1" w:lastColumn="0" w:lastRow="0" w:noHBand="0" w:noVBand="1" w:val="04A0"/>
      </w:tblPr>
      <w:tblGrid>
        <w:gridCol w:w="4320"/>
        <w:gridCol w:w="4320"/>
      </w:tblGrid>
      <w:tr>
        <w:trPr>
          <w:tblHeader/>
          <w:cantSplit/>
        </w:trPr>
        <w:tc>
          <w:tcPr>
            <w:tcW w:type="dxa" w:w="4320"/>
          </w:tcPr>
          <w:p>
            <w:r>
              <w:rPr>
                <w:sz w:val="16"/>
              </w:rPr>
              <w:t>Role</w:t>
            </w:r>
          </w:p>
        </w:tc>
        <w:tc>
          <w:tcPr>
            <w:tcW w:type="dxa" w:w="4320"/>
          </w:tcPr>
          <w:p>
            <w:r>
              <w:rPr>
                <w:sz w:val="16"/>
              </w:rPr>
              <w:t>Core capabilities</w:t>
            </w:r>
          </w:p>
        </w:tc>
      </w:tr>
      <w:tr>
        <w:trPr>
          <w:cantSplit/>
        </w:trPr>
        <w:tc>
          <w:tcPr>
            <w:tcW w:type="dxa" w:w="4320"/>
          </w:tcPr>
          <w:p>
            <w:r>
              <w:rPr>
                <w:sz w:val="16"/>
              </w:rPr>
              <w:t>Visitor/customer</w:t>
            </w:r>
          </w:p>
        </w:tc>
        <w:tc>
          <w:tcPr>
            <w:tcW w:type="dxa" w:w="4320"/>
          </w:tcPr>
          <w:p>
            <w:r>
              <w:rPr>
                <w:sz w:val="16"/>
              </w:rPr>
              <w:t>Browse services, quote, book, pay, reschedule/cancel within policy, view own jobs, rate/complain</w:t>
            </w:r>
          </w:p>
        </w:tc>
      </w:tr>
      <w:tr>
        <w:trPr>
          <w:cantSplit/>
        </w:trPr>
        <w:tc>
          <w:tcPr>
            <w:tcW w:type="dxa" w:w="4320"/>
          </w:tcPr>
          <w:p>
            <w:r>
              <w:rPr>
                <w:sz w:val="16"/>
              </w:rPr>
              <w:t>Cleaner</w:t>
            </w:r>
          </w:p>
        </w:tc>
        <w:tc>
          <w:tcPr>
            <w:tcW w:type="dxa" w:w="4320"/>
          </w:tcPr>
          <w:p>
            <w:r>
              <w:rPr>
                <w:sz w:val="16"/>
              </w:rPr>
              <w:t>See assigned jobs, GPS clock-in/out, upload photos, report equipment issues; no financial access</w:t>
            </w:r>
          </w:p>
        </w:tc>
      </w:tr>
      <w:tr>
        <w:trPr>
          <w:cantSplit/>
        </w:trPr>
        <w:tc>
          <w:tcPr>
            <w:tcW w:type="dxa" w:w="4320"/>
          </w:tcPr>
          <w:p>
            <w:r>
              <w:rPr>
                <w:sz w:val="16"/>
              </w:rPr>
              <w:t>Manager</w:t>
            </w:r>
          </w:p>
        </w:tc>
        <w:tc>
          <w:tcPr>
            <w:tcW w:type="dxa" w:w="4320"/>
          </w:tcPr>
          <w:p>
            <w:r>
              <w:t>Assign jobs, track completion, review staff hours, view invoices/payment status and limited operational reports; cannot alter customer feedback, erase audits or view owner-only full financials</w:t>
            </w:r>
          </w:p>
        </w:tc>
      </w:tr>
      <w:tr>
        <w:trPr>
          <w:cantSplit/>
        </w:trPr>
        <w:tc>
          <w:tcPr>
            <w:tcW w:type="dxa" w:w="4320"/>
          </w:tcPr>
          <w:p>
            <w:r>
              <w:rPr>
                <w:sz w:val="16"/>
              </w:rPr>
              <w:t>Owner / super admin</w:t>
            </w:r>
          </w:p>
        </w:tc>
        <w:tc>
          <w:tcPr>
            <w:tcW w:type="dxa" w:w="4320"/>
          </w:tcPr>
          <w:p>
            <w:r>
              <w:rPr>
                <w:sz w:val="16"/>
              </w:rPr>
              <w:t>All reports, pricing and approvals, access administration, audit reviews and exception handling</w:t>
            </w:r>
          </w:p>
        </w:tc>
      </w:tr>
      <w:tr>
        <w:trPr>
          <w:cantSplit/>
        </w:trPr>
        <w:tc>
          <w:tcPr>
            <w:tcW w:type="dxa" w:w="4320"/>
          </w:tcPr>
          <w:p>
            <w:r>
              <w:rPr>
                <w:sz w:val="16"/>
              </w:rPr>
              <w:t>System administrator (technical)</w:t>
            </w:r>
          </w:p>
        </w:tc>
        <w:tc>
          <w:tcPr>
            <w:tcW w:type="dxa" w:w="4320"/>
          </w:tcPr>
          <w:p>
            <w:r>
              <w:rPr>
                <w:sz w:val="16"/>
              </w:rPr>
              <w:t>Infrastructure and support access only as authorized; actions logged and least-privilege access</w:t>
            </w:r>
          </w:p>
        </w:tc>
      </w:tr>
    </w:tbl>
    <w:p>
      <w:pPr>
        <w:pStyle w:val="Heading1"/>
      </w:pPr>
      <w:r>
        <w:t>4 Functional requirements</w:t>
      </w:r>
    </w:p>
    <w:p>
      <w:pPr>
        <w:pStyle w:val="Heading2"/>
      </w:pPr>
      <w:r>
        <w:t>4.1 Public website and customer booking</w:t>
      </w:r>
    </w:p>
    <w:p>
      <w:pPr>
        <w:pStyle w:val="ListBullet"/>
      </w:pPr>
      <w:r>
        <w:t>Service pages with descriptions, indicative GHS pricing, contact information and mobile-responsive layout. The service catalogue covers home cleaning, housekeeping subscriptions, deep cleaning, move-in/out cleaning, Airbnb turnover, office cleaning, washroom hygiene and specialist services. The owner must approve the services offered at launch and final checkout prices.</w:t>
      </w:r>
    </w:p>
    <w:p>
      <w:pPr>
        <w:pStyle w:val="ListBullet"/>
      </w:pPr>
      <w:r>
        <w:t>Booking flow: choose service, date/time, address, contact details, and see final price before payment.</w:t>
      </w:r>
    </w:p>
    <w:p>
      <w:pPr>
        <w:pStyle w:val="ListBullet"/>
      </w:pPr>
      <w:r>
        <w:t>Booking confirmations and SMS/WhatsApp reminders, with changes and cancellations governed by approved policies. Messaging providers, templates and usage costs must be agreed before activation.</w:t>
      </w:r>
    </w:p>
    <w:p>
      <w:pPr>
        <w:pStyle w:val="ListBullet"/>
      </w:pPr>
      <w:r>
        <w:t>Customer booking history/status and secure access to personal details.</w:t>
      </w:r>
    </w:p>
    <w:p>
      <w:pPr>
        <w:pStyle w:val="Heading2"/>
      </w:pPr>
      <w:r>
        <w:t>4.2 Payments and financial controls</w:t>
      </w:r>
    </w:p>
    <w:p>
      <w:pPr>
        <w:pStyle w:val="ListBullet"/>
      </w:pPr>
      <w:r>
        <w:t>Ghana mobile money (MoMo) and card checkout through an approved payment service provider.</w:t>
      </w:r>
    </w:p>
    <w:p>
      <w:pPr>
        <w:pStyle w:val="ListBullet"/>
      </w:pPr>
      <w:r>
        <w:t>Use hosted/tokenized payment methods; never store raw card details.</w:t>
      </w:r>
    </w:p>
    <w:p>
      <w:pPr>
        <w:pStyle w:val="ListBullet"/>
      </w:pPr>
      <w:r>
        <w:t>Server-side payment verification, signed webhook validation, idempotent event handling and payment-to-booking reconciliation.</w:t>
      </w:r>
    </w:p>
    <w:p>
      <w:pPr>
        <w:pStyle w:val="ListBullet"/>
      </w:pPr>
      <w:r>
        <w:t>Display pending, failed, refunded and unpaid payment status; flag completed jobs lacking verified payment. Small recurring jobs are paid upfront. Future business contracts may use monthly invoices and approved payment terms; distinguish authorized credit from overdue payment.</w:t>
      </w:r>
    </w:p>
    <w:p>
      <w:pPr>
        <w:pStyle w:val="ListBullet"/>
      </w:pPr>
      <w:r>
        <w:t>Owner-controlled refund approval and discount threshold; immutable-from-staff audit events.</w:t>
      </w:r>
    </w:p>
    <w:p>
      <w:pPr>
        <w:pStyle w:val="ListBullet"/>
      </w:pPr>
      <w:r>
        <w:t>Managers may view operational booking reports, invoice/payment status and overdue reminders. Full financials, profit, full data exports and sensitive financial controls are restricted to the owner. Confirm the permitted manager report fields before implementation.</w:t>
      </w:r>
    </w:p>
    <w:p>
      <w:pPr>
        <w:pStyle w:val="Heading2"/>
      </w:pPr>
      <w:r>
        <w:t>4.3 Staff GPS attendance and job proof</w:t>
      </w:r>
    </w:p>
    <w:p>
      <w:pPr>
        <w:pStyle w:val="ListBullet"/>
      </w:pPr>
      <w:r>
        <w:t>Mobile browser geolocation for clock-in/out with permission and proximity checks to customer address.</w:t>
      </w:r>
    </w:p>
    <w:p>
      <w:pPr>
        <w:pStyle w:val="ListBullet"/>
      </w:pPr>
      <w:r>
        <w:t>Record server-received time, coordinates, accuracy and job ID; reject manual edits and log exceptions.</w:t>
      </w:r>
    </w:p>
    <w:p>
      <w:pPr>
        <w:pStyle w:val="ListBullet"/>
      </w:pPr>
      <w:r>
        <w:t>Timestamped before/after photo upload, protected storage and authorized viewing. Obtain customer consent; photograph rooms and surfaces only, never people or personal documents. Customers may view only their own job photos. Retention duration and deletion rules remain pending.</w:t>
      </w:r>
    </w:p>
    <w:p>
      <w:pPr>
        <w:pStyle w:val="ListBullet"/>
      </w:pPr>
      <w:r>
        <w:t>Job states: assigned, en route (optional), started, completed, delayed and exception. Flag missing attendance or photo evidence and provide a service-specific cleaning checklist.</w:t>
      </w:r>
    </w:p>
    <w:p>
      <w:pPr>
        <w:pStyle w:val="ListBullet"/>
      </w:pPr>
      <w:r>
        <w:t>GPS and timestamps are evidence, not fraud-proof: spoofing and poor signal remain possible; implement anomaly detection and manual review.</w:t>
      </w:r>
    </w:p>
    <w:p>
      <w:pPr>
        <w:pStyle w:val="Heading2"/>
      </w:pPr>
      <w:r>
        <w:t>4.4 Staff hours and payroll</w:t>
      </w:r>
    </w:p>
    <w:p>
      <w:pPr>
        <w:pStyle w:val="ListBullet"/>
      </w:pPr>
      <w:r>
        <w:t>Calculate hours from approved attendance events, including missed clock-out and anomalous duration flags.</w:t>
      </w:r>
    </w:p>
    <w:p>
      <w:pPr>
        <w:pStyle w:val="ListBullet"/>
      </w:pPr>
      <w:r>
        <w:t>Manager review workflow and downloadable CSV/XLSX payroll export.</w:t>
      </w:r>
    </w:p>
    <w:p>
      <w:pPr>
        <w:pStyle w:val="ListBullet"/>
      </w:pPr>
      <w:r>
        <w:t>Payroll scope covers attendance-based working hours, review and export. Salary disbursement and statutory payroll deductions require a separate specification.</w:t>
      </w:r>
    </w:p>
    <w:p>
      <w:pPr>
        <w:pStyle w:val="Heading2"/>
      </w:pPr>
      <w:r>
        <w:t>4.5 Customer ratings and complaints</w:t>
      </w:r>
    </w:p>
    <w:p>
      <w:pPr>
        <w:pStyle w:val="ListBullet"/>
      </w:pPr>
      <w:r>
        <w:t>Customers can rate completed jobs, submit complaints and request a re-clean through the system. Support a 24-hour re-clean guarantee, subject to approval of eligibility, timing and exclusions before launch.</w:t>
      </w:r>
    </w:p>
    <w:p>
      <w:pPr>
        <w:pStyle w:val="ListBullet"/>
      </w:pPr>
      <w:r>
        <w:t>Owner can see low ratings and complaints; alerts for unresolved cases.</w:t>
      </w:r>
    </w:p>
    <w:p>
      <w:pPr>
        <w:pStyle w:val="ListBullet"/>
      </w:pPr>
      <w:r>
        <w:t>Managers cannot edit/delete original customer submissions; replies and resolution notes are separate, audited records.</w:t>
      </w:r>
    </w:p>
    <w:p>
      <w:pPr>
        <w:pStyle w:val="Heading2"/>
      </w:pPr>
      <w:r>
        <w:t>4.6 Pricing, discounts, refunds and audit</w:t>
      </w:r>
    </w:p>
    <w:p>
      <w:pPr>
        <w:pStyle w:val="ListBullet"/>
      </w:pPr>
      <w:r>
        <w:t>Record who changed what and when, including before/after values and reason.</w:t>
      </w:r>
    </w:p>
    <w:p>
      <w:pPr>
        <w:pStyle w:val="ListBullet"/>
      </w:pPr>
      <w:r>
        <w:t>Owner approval required above configurable discount/refund thresholds.</w:t>
      </w:r>
    </w:p>
    <w:p>
      <w:pPr>
        <w:pStyle w:val="ListBullet"/>
      </w:pPr>
      <w:r>
        <w:t>Maintain an append-only application audit log with restricted database access and off-site retention. Staff cannot modify or delete recorded events; infrastructure access is separately controlled and monitored.</w:t>
      </w:r>
    </w:p>
    <w:p>
      <w:pPr>
        <w:pStyle w:val="Heading2"/>
      </w:pPr>
      <w:r>
        <w:t>4.7 Stock and equipment</w:t>
      </w:r>
    </w:p>
    <w:p>
      <w:pPr>
        <w:pStyle w:val="ListBullet"/>
      </w:pPr>
      <w:r>
        <w:t>Record chemical/supply use per job; compare consumption against job type and volume.</w:t>
      </w:r>
    </w:p>
    <w:p>
      <w:pPr>
        <w:pStyle w:val="ListBullet"/>
      </w:pPr>
      <w:r>
        <w:t>Low-stock thresholds and alerts, equipment assignment, damage/missing reports.</w:t>
      </w:r>
    </w:p>
    <w:p>
      <w:pPr>
        <w:pStyle w:val="Heading2"/>
      </w:pPr>
      <w:r>
        <w:t>4.8 Owner dashboard and reports</w:t>
      </w:r>
    </w:p>
    <w:p>
      <w:pPr>
        <w:pStyle w:val="ListBullet"/>
      </w:pPr>
      <w:r>
        <w:t>Show bookings, completed/unpaid jobs, income, refunds, discounts, attendance and complaints. Provide payment reconciliation, owner alerts, weekly summaries and monthly PDF reports. Reporting templates and delivery channels require approval.</w:t>
      </w:r>
    </w:p>
    <w:p>
      <w:pPr>
        <w:pStyle w:val="ListBullet"/>
      </w:pPr>
      <w:r>
        <w:t>Filter by date, service, team and payment status; export or print reports.</w:t>
      </w:r>
    </w:p>
    <w:p>
      <w:pPr>
        <w:pStyle w:val="ListBullet"/>
      </w:pPr>
      <w:r>
        <w:t>Mobile and desktop support with permissions enforced server-side.</w:t>
      </w:r>
    </w:p>
    <w:p>
      <w:pPr>
        <w:pStyle w:val="Heading2"/>
      </w:pPr>
      <w:r>
        <w:t>4.9 Authentication and security</w:t>
      </w:r>
    </w:p>
    <w:p>
      <w:pPr>
        <w:pStyle w:val="ListBullet"/>
      </w:pPr>
      <w:r>
        <w:t>Unique staff accounts, role-based authorization, strong password hashing, secure sessions or short-lived access tokens and refresh-token controls.</w:t>
      </w:r>
    </w:p>
    <w:p>
      <w:pPr>
        <w:pStyle w:val="ListBullet"/>
      </w:pPr>
      <w:r>
        <w:t>Owner/admin multi-factor authentication recommended; login throttling, secure password reset and HTTPS.</w:t>
      </w:r>
    </w:p>
    <w:p>
      <w:pPr>
        <w:pStyle w:val="ListBullet"/>
      </w:pPr>
      <w:r>
        <w:t>Daily automated backups, restoration tests, monitoring and incident response procedure.</w:t>
      </w:r>
    </w:p>
    <w:p>
      <w:pPr>
        <w:pStyle w:val="ListBullet"/>
      </w:pPr>
      <w:r>
        <w:t>Publish privacy notices and terms, obtain consent for job photos, define retention and access controls, and limit cleaner access to client addresses and access notes to assigned jobs. Complete the required local data-protection review and any applicable registration before production launch.</w:t>
      </w:r>
    </w:p>
    <w:p>
      <w:pPr>
        <w:pStyle w:val="Heading1"/>
      </w:pPr>
      <w:r>
        <w:t>5 Technology architecture</w:t>
      </w:r>
    </w:p>
    <w:tbl>
      <w:tblPr>
        <w:tblStyle w:val="LightShading-Accent1"/>
        <w:tblW w:type="auto" w:w="0"/>
        <w:jc w:val="center"/>
        <w:tblLook w:firstColumn="1" w:firstRow="1" w:lastColumn="0" w:lastRow="0" w:noHBand="0" w:noVBand="1" w:val="04A0"/>
      </w:tblPr>
      <w:tblGrid>
        <w:gridCol w:w="4320"/>
        <w:gridCol w:w="4320"/>
      </w:tblGrid>
      <w:tr>
        <w:trPr>
          <w:tblHeader/>
          <w:cantSplit/>
        </w:trPr>
        <w:tc>
          <w:tcPr>
            <w:tcW w:type="dxa" w:w="4320"/>
          </w:tcPr>
          <w:p>
            <w:r>
              <w:rPr>
                <w:sz w:val="16"/>
              </w:rPr>
              <w:t>Layer</w:t>
            </w:r>
          </w:p>
        </w:tc>
        <w:tc>
          <w:tcPr>
            <w:tcW w:type="dxa" w:w="4320"/>
          </w:tcPr>
          <w:p>
            <w:r>
              <w:rPr>
                <w:sz w:val="16"/>
              </w:rPr>
              <w:t>Technology / design</w:t>
            </w:r>
          </w:p>
        </w:tc>
      </w:tr>
      <w:tr>
        <w:trPr>
          <w:cantSplit/>
        </w:trPr>
        <w:tc>
          <w:tcPr>
            <w:tcW w:type="dxa" w:w="4320"/>
          </w:tcPr>
          <w:p>
            <w:r>
              <w:rPr>
                <w:sz w:val="16"/>
              </w:rPr>
              <w:t>Frontend</w:t>
            </w:r>
          </w:p>
        </w:tc>
        <w:tc>
          <w:tcPr>
            <w:tcW w:type="dxa" w:w="4320"/>
          </w:tcPr>
          <w:p>
            <w:r>
              <w:rPr>
                <w:sz w:val="16"/>
              </w:rPr>
              <w:t>React + TypeScript; Redux Toolkit for shared application state; React Router; accessible responsive UI; React Hook Form + schema validation (proposed)</w:t>
            </w:r>
          </w:p>
        </w:tc>
      </w:tr>
      <w:tr>
        <w:trPr>
          <w:cantSplit/>
        </w:trPr>
        <w:tc>
          <w:tcPr>
            <w:tcW w:type="dxa" w:w="4320"/>
          </w:tcPr>
          <w:p>
            <w:r>
              <w:rPr>
                <w:sz w:val="16"/>
              </w:rPr>
              <w:t>Backend</w:t>
            </w:r>
          </w:p>
        </w:tc>
        <w:tc>
          <w:tcPr>
            <w:tcW w:type="dxa" w:w="4320"/>
          </w:tcPr>
          <w:p>
            <w:r>
              <w:rPr>
                <w:sz w:val="16"/>
              </w:rPr>
              <w:t>Node.js + Express REST API; TypeScript recommended; Socket.IO for live dashboard/job notifications; background worker for retries/reminders</w:t>
            </w:r>
          </w:p>
        </w:tc>
      </w:tr>
      <w:tr>
        <w:trPr>
          <w:cantSplit/>
        </w:trPr>
        <w:tc>
          <w:tcPr>
            <w:tcW w:type="dxa" w:w="4320"/>
          </w:tcPr>
          <w:p>
            <w:r>
              <w:rPr>
                <w:sz w:val="16"/>
              </w:rPr>
              <w:t>Database (production)</w:t>
            </w:r>
          </w:p>
        </w:tc>
        <w:tc>
          <w:tcPr>
            <w:tcW w:type="dxa" w:w="4320"/>
          </w:tcPr>
          <w:p>
            <w:r>
              <w:rPr>
                <w:sz w:val="16"/>
              </w:rPr>
              <w:t>MySQL on managed production database service with automated backups, TLS and separate credentials</w:t>
            </w:r>
          </w:p>
        </w:tc>
      </w:tr>
      <w:tr>
        <w:trPr>
          <w:cantSplit/>
        </w:trPr>
        <w:tc>
          <w:tcPr>
            <w:tcW w:type="dxa" w:w="4320"/>
          </w:tcPr>
          <w:p>
            <w:r>
              <w:rPr>
                <w:sz w:val="16"/>
              </w:rPr>
              <w:t>Local database</w:t>
            </w:r>
          </w:p>
        </w:tc>
        <w:tc>
          <w:tcPr>
            <w:tcW w:type="dxa" w:w="4320"/>
          </w:tcPr>
          <w:p>
            <w:r>
              <w:rPr>
                <w:sz w:val="16"/>
              </w:rPr>
              <w:t>MySQL/MariaDB via XAMPP for local development only; validate version and SQL compatibility against production MySQL</w:t>
            </w:r>
          </w:p>
        </w:tc>
      </w:tr>
      <w:tr>
        <w:trPr>
          <w:cantSplit/>
        </w:trPr>
        <w:tc>
          <w:tcPr>
            <w:tcW w:type="dxa" w:w="4320"/>
          </w:tcPr>
          <w:p>
            <w:r>
              <w:rPr>
                <w:sz w:val="16"/>
              </w:rPr>
              <w:t>ORM / migrations</w:t>
            </w:r>
          </w:p>
        </w:tc>
        <w:tc>
          <w:tcPr>
            <w:tcW w:type="dxa" w:w="4320"/>
          </w:tcPr>
          <w:p>
            <w:r>
              <w:rPr>
                <w:sz w:val="16"/>
              </w:rPr>
              <w:t>Prisma or another selected MySQL-compatible migration layer (decision pending)</w:t>
            </w:r>
          </w:p>
        </w:tc>
      </w:tr>
      <w:tr>
        <w:trPr>
          <w:cantSplit/>
        </w:trPr>
        <w:tc>
          <w:tcPr>
            <w:tcW w:type="dxa" w:w="4320"/>
          </w:tcPr>
          <w:p>
            <w:r>
              <w:rPr>
                <w:sz w:val="16"/>
              </w:rPr>
              <w:t>File storage</w:t>
            </w:r>
          </w:p>
        </w:tc>
        <w:tc>
          <w:tcPr>
            <w:tcW w:type="dxa" w:w="4320"/>
          </w:tcPr>
          <w:p>
            <w:r>
              <w:rPr>
                <w:sz w:val="16"/>
              </w:rPr>
              <w:t>Private object storage for job images; short-lived signed URLs; no photo blobs in MySQL</w:t>
            </w:r>
          </w:p>
        </w:tc>
      </w:tr>
      <w:tr>
        <w:trPr>
          <w:cantSplit/>
        </w:trPr>
        <w:tc>
          <w:tcPr>
            <w:tcW w:type="dxa" w:w="4320"/>
          </w:tcPr>
          <w:p>
            <w:r>
              <w:rPr>
                <w:sz w:val="16"/>
              </w:rPr>
              <w:t>Payments</w:t>
            </w:r>
          </w:p>
        </w:tc>
        <w:tc>
          <w:tcPr>
            <w:tcW w:type="dxa" w:w="4320"/>
          </w:tcPr>
          <w:p>
            <w:r>
              <w:rPr>
                <w:sz w:val="16"/>
              </w:rPr>
              <w:t>Ghana-compatible payment gateway with MoMo and cards (e.g., Paystack or Flutterwave), subject to merchant eligibility, fees and feature verification</w:t>
            </w:r>
          </w:p>
        </w:tc>
      </w:tr>
      <w:tr>
        <w:trPr>
          <w:cantSplit/>
        </w:trPr>
        <w:tc>
          <w:tcPr>
            <w:tcW w:type="dxa" w:w="4320"/>
          </w:tcPr>
          <w:p>
            <w:r>
              <w:rPr>
                <w:sz w:val="16"/>
              </w:rPr>
              <w:t>Testing</w:t>
            </w:r>
          </w:p>
        </w:tc>
        <w:tc>
          <w:tcPr>
            <w:tcW w:type="dxa" w:w="4320"/>
          </w:tcPr>
          <w:p>
            <w:r>
              <w:rPr>
                <w:sz w:val="16"/>
              </w:rPr>
              <w:t>Jest for frontend/component tests; Mocha + Chai/Supertest for backend/API tests; Playwright for end-to-end flows (recommended)</w:t>
            </w:r>
          </w:p>
        </w:tc>
      </w:tr>
      <w:tr>
        <w:trPr>
          <w:cantSplit/>
        </w:trPr>
        <w:tc>
          <w:tcPr>
            <w:tcW w:type="dxa" w:w="4320"/>
          </w:tcPr>
          <w:p>
            <w:r>
              <w:rPr>
                <w:sz w:val="16"/>
              </w:rPr>
              <w:t>Deployment</w:t>
            </w:r>
          </w:p>
        </w:tc>
        <w:tc>
          <w:tcPr>
            <w:tcW w:type="dxa" w:w="4320"/>
          </w:tcPr>
          <w:p>
            <w:r>
              <w:rPr>
                <w:sz w:val="16"/>
              </w:rPr>
              <w:t>Managed frontend hosting plus Node-compatible backend service, production MySQL and object storage; separate staging environment</w:t>
            </w:r>
          </w:p>
        </w:tc>
      </w:tr>
      <w:tr>
        <w:trPr>
          <w:cantSplit/>
        </w:trPr>
        <w:tc>
          <w:tcPr>
            <w:tcW w:type="dxa" w:w="4320"/>
          </w:tcPr>
          <w:p>
            <w:r>
              <w:rPr>
                <w:sz w:val="16"/>
              </w:rPr>
              <w:t>Realtime</w:t>
            </w:r>
          </w:p>
        </w:tc>
        <w:tc>
          <w:tcPr>
            <w:tcW w:type="dxa" w:w="4320"/>
          </w:tcPr>
          <w:p>
            <w:r>
              <w:rPr>
                <w:sz w:val="16"/>
              </w:rPr>
              <w:t>Socket.IO only where real-time updates add value; ordinary booking/payment operations remain durable REST/API transactions</w:t>
            </w:r>
          </w:p>
        </w:tc>
      </w:tr>
    </w:tbl>
    <w:p>
      <w:r>
        <w:t>Architecture flow: React client → HTTPS Express API → MySQL; Express integrates with payment provider webhooks and private object storage; Socket.IO pushes authorized operational updates to staff/owner dashboards. Secrets stay on the server.</w:t>
      </w:r>
    </w:p>
    <w:p>
      <w:pPr>
        <w:pStyle w:val="Heading1"/>
      </w:pPr>
      <w:r>
        <w:t>6 Third-party integrations</w:t>
      </w:r>
    </w:p>
    <w:tbl>
      <w:tblPr>
        <w:tblStyle w:val="LightShading-Accent1"/>
        <w:tblW w:type="auto" w:w="0"/>
        <w:jc w:val="center"/>
        <w:tblLook w:firstColumn="1" w:firstRow="1" w:lastColumn="0" w:lastRow="0" w:noHBand="0" w:noVBand="1" w:val="04A0"/>
      </w:tblPr>
      <w:tblGrid>
        <w:gridCol w:w="4320"/>
        <w:gridCol w:w="4320"/>
      </w:tblGrid>
      <w:tr>
        <w:trPr>
          <w:tblHeader/>
          <w:cantSplit/>
        </w:trPr>
        <w:tc>
          <w:tcPr>
            <w:tcW w:type="dxa" w:w="4320"/>
          </w:tcPr>
          <w:p>
            <w:r>
              <w:rPr>
                <w:sz w:val="16"/>
              </w:rPr>
              <w:t>Integration</w:t>
            </w:r>
          </w:p>
        </w:tc>
        <w:tc>
          <w:tcPr>
            <w:tcW w:type="dxa" w:w="4320"/>
          </w:tcPr>
          <w:p>
            <w:r>
              <w:rPr>
                <w:sz w:val="16"/>
              </w:rPr>
              <w:t>Purpose / acceptance</w:t>
            </w:r>
          </w:p>
        </w:tc>
      </w:tr>
      <w:tr>
        <w:trPr>
          <w:cantSplit/>
        </w:trPr>
        <w:tc>
          <w:tcPr>
            <w:tcW w:type="dxa" w:w="4320"/>
          </w:tcPr>
          <w:p>
            <w:r>
              <w:rPr>
                <w:sz w:val="16"/>
              </w:rPr>
              <w:t>MoMo + cards</w:t>
            </w:r>
          </w:p>
        </w:tc>
        <w:tc>
          <w:tcPr>
            <w:tcW w:type="dxa" w:w="4320"/>
          </w:tcPr>
          <w:p>
            <w:r>
              <w:rPr>
                <w:sz w:val="16"/>
              </w:rPr>
              <w:t>Merchant account in Ghana, GHS collection, payment initiation, server-side verification, refunds and webhook reconciliation; test sandbox then live</w:t>
            </w:r>
          </w:p>
        </w:tc>
      </w:tr>
      <w:tr>
        <w:trPr>
          <w:cantSplit/>
        </w:trPr>
        <w:tc>
          <w:tcPr>
            <w:tcW w:type="dxa" w:w="4320"/>
          </w:tcPr>
          <w:p>
            <w:r>
              <w:rPr>
                <w:sz w:val="16"/>
              </w:rPr>
              <w:t>Email / SMS / WhatsApp (optional)</w:t>
            </w:r>
          </w:p>
        </w:tc>
        <w:tc>
          <w:tcPr>
            <w:tcW w:type="dxa" w:w="4320"/>
          </w:tcPr>
          <w:p>
            <w:r>
              <w:rPr>
                <w:sz w:val="16"/>
              </w:rPr>
              <w:t>Booking confirmations, reminders, staff alerts; choose provider and confirm delivery pricing</w:t>
            </w:r>
          </w:p>
        </w:tc>
      </w:tr>
      <w:tr>
        <w:trPr>
          <w:cantSplit/>
        </w:trPr>
        <w:tc>
          <w:tcPr>
            <w:tcW w:type="dxa" w:w="4320"/>
          </w:tcPr>
          <w:p>
            <w:r>
              <w:rPr>
                <w:sz w:val="16"/>
              </w:rPr>
              <w:t>Maps / geocoding</w:t>
            </w:r>
          </w:p>
        </w:tc>
        <w:tc>
          <w:tcPr>
            <w:tcW w:type="dxa" w:w="4320"/>
          </w:tcPr>
          <w:p>
            <w:r>
              <w:rPr>
                <w:sz w:val="16"/>
              </w:rPr>
              <w:t>Convert customer addresses to coordinates; choose mapping vendor and control usage costs</w:t>
            </w:r>
          </w:p>
        </w:tc>
      </w:tr>
      <w:tr>
        <w:trPr>
          <w:cantSplit/>
        </w:trPr>
        <w:tc>
          <w:tcPr>
            <w:tcW w:type="dxa" w:w="4320"/>
          </w:tcPr>
          <w:p>
            <w:r>
              <w:rPr>
                <w:sz w:val="16"/>
              </w:rPr>
              <w:t>Cloud object storage</w:t>
            </w:r>
          </w:p>
        </w:tc>
        <w:tc>
          <w:tcPr>
            <w:tcW w:type="dxa" w:w="4320"/>
          </w:tcPr>
          <w:p>
            <w:r>
              <w:rPr>
                <w:sz w:val="16"/>
              </w:rPr>
              <w:t>Private job photo uploads, retention and backup policy</w:t>
            </w:r>
          </w:p>
        </w:tc>
      </w:tr>
      <w:tr>
        <w:trPr>
          <w:cantSplit/>
        </w:trPr>
        <w:tc>
          <w:tcPr>
            <w:tcW w:type="dxa" w:w="4320"/>
          </w:tcPr>
          <w:p>
            <w:r>
              <w:rPr>
                <w:sz w:val="16"/>
              </w:rPr>
              <w:t>Monitoring</w:t>
            </w:r>
          </w:p>
        </w:tc>
        <w:tc>
          <w:tcPr>
            <w:tcW w:type="dxa" w:w="4320"/>
          </w:tcPr>
          <w:p>
            <w:r>
              <w:rPr>
                <w:sz w:val="16"/>
              </w:rPr>
              <w:t>Error tracking, uptime checks, audit alerts and operational logging</w:t>
            </w:r>
          </w:p>
        </w:tc>
      </w:tr>
    </w:tbl>
    <w:p>
      <w:r>
        <w:t>Gateway choice is not final. Settlement timing, Ghana merchant onboarding, mobile-money network coverage, USD acceptance and refunds must be verified with the chosen provider. Funds settle according to the provider agreement; “direct to bank” does not imply instant settlement.</w:t>
      </w:r>
    </w:p>
    <w:p>
      <w:pPr>
        <w:pStyle w:val="Heading1"/>
      </w:pPr>
      <w:r>
        <w:t>7 Domain, hosting and ownership</w:t>
      </w:r>
    </w:p>
    <w:p>
      <w:pPr>
        <w:pStyle w:val="ListBullet"/>
      </w:pPr>
      <w:r>
        <w:t>Register a client-owned domain (for example, an available .com or .com.gh name); final name and availability are not confirmed.</w:t>
      </w:r>
    </w:p>
    <w:p>
      <w:pPr>
        <w:pStyle w:val="ListBullet"/>
      </w:pPr>
      <w:r>
        <w:t>Host frontend, Node/Socket.IO backend, production MySQL, private images and backups with TLS/SSL, CDN where useful and deployment pipelines.</w:t>
      </w:r>
    </w:p>
    <w:p>
      <w:pPr>
        <w:pStyle w:val="ListBullet"/>
      </w:pPr>
      <w:r>
        <w:t>Set up DNS, transactional email sender authentication, environment secrets, staging, logs and uptime monitoring.</w:t>
      </w:r>
    </w:p>
    <w:p>
      <w:pPr>
        <w:pStyle w:val="ListBullet"/>
      </w:pPr>
      <w:r>
        <w:t>The client should own domain, hosting, payment merchant account, cloud accounts and associated credentials; developer access should be delegated.</w:t>
      </w:r>
    </w:p>
    <w:p>
      <w:pPr>
        <w:pStyle w:val="ListBullet"/>
      </w:pPr>
      <w:r>
        <w:t>Recurring hosting, domain, SMS, payment processing, maps, storage and backup costs are paid by the client unless separately agreed. Obtain quotes before purchasing.</w:t>
      </w:r>
    </w:p>
    <w:p>
      <w:pPr>
        <w:pStyle w:val="Heading1"/>
      </w:pPr>
      <w:r>
        <w:t>8 Quality assurance and release gates</w:t>
      </w:r>
    </w:p>
    <w:p>
      <w:pPr>
        <w:pStyle w:val="ListBullet"/>
      </w:pPr>
      <w:r>
        <w:t>Jest: React components, forms, state reducers, validation and role-based UI behaviour.</w:t>
      </w:r>
    </w:p>
    <w:p>
      <w:pPr>
        <w:pStyle w:val="ListBullet"/>
      </w:pPr>
      <w:r>
        <w:t>Mocha + Chai/Supertest: Express endpoints, auth, role checks, booking lifecycle, payment callbacks and audit events.</w:t>
      </w:r>
    </w:p>
    <w:p>
      <w:pPr>
        <w:pStyle w:val="ListBullet"/>
      </w:pPr>
      <w:r>
        <w:t>Integration tests: real MySQL-compatible test database, migrations, transaction rollback and idempotent payment webhooks.</w:t>
      </w:r>
    </w:p>
    <w:p>
      <w:pPr>
        <w:pStyle w:val="ListBullet"/>
      </w:pPr>
      <w:r>
        <w:t>End-to-end tests: mobile booking → payment → cleaner check-in → completion → owner report; cancellation/refund/complaint paths.</w:t>
      </w:r>
    </w:p>
    <w:p>
      <w:pPr>
        <w:pStyle w:val="ListBullet"/>
      </w:pPr>
      <w:r>
        <w:t>Security checks: authorization across every endpoint, rate limits, file-upload validation, dependency scanning and backup restoration.</w:t>
      </w:r>
    </w:p>
    <w:p>
      <w:pPr>
        <w:pStyle w:val="ListBullet"/>
      </w:pPr>
      <w:r>
        <w:t>Performance/accessibility: responsive testing on low-bandwidth mobile, keyboard navigation and WCAG 2.2 AA as an aspirational standard.</w:t>
      </w:r>
    </w:p>
    <w:p>
      <w:pPr>
        <w:pStyle w:val="ListBullet"/>
      </w:pPr>
      <w:r>
        <w:t>Release requires client UAT sign-off, production payment test, backups, monitoring, documented admin access and rollback plan.</w:t>
      </w:r>
    </w:p>
    <w:p>
      <w:pPr>
        <w:pStyle w:val="Heading1"/>
      </w:pPr>
      <w:r>
        <w:t>9 Proposed delivery plan 12 weeks</w:t>
      </w:r>
    </w:p>
    <w:tbl>
      <w:tblPr>
        <w:tblStyle w:val="LightShading-Accent1"/>
        <w:tblW w:type="auto" w:w="0"/>
        <w:jc w:val="center"/>
        <w:tblLook w:firstColumn="1" w:firstRow="1" w:lastColumn="0" w:lastRow="0" w:noHBand="0" w:noVBand="1" w:val="04A0"/>
      </w:tblPr>
      <w:tblGrid>
        <w:gridCol w:w="4320"/>
        <w:gridCol w:w="4320"/>
      </w:tblGrid>
      <w:tr>
        <w:trPr>
          <w:tblHeader/>
          <w:cantSplit/>
        </w:trPr>
        <w:tc>
          <w:tcPr>
            <w:tcW w:type="dxa" w:w="4320"/>
          </w:tcPr>
          <w:p>
            <w:r>
              <w:rPr>
                <w:sz w:val="16"/>
              </w:rPr>
              <w:t>Weeks</w:t>
            </w:r>
          </w:p>
        </w:tc>
        <w:tc>
          <w:tcPr>
            <w:tcW w:type="dxa" w:w="4320"/>
          </w:tcPr>
          <w:p>
            <w:r>
              <w:rPr>
                <w:sz w:val="16"/>
              </w:rPr>
              <w:t>Deliverables / gates</w:t>
            </w:r>
          </w:p>
        </w:tc>
      </w:tr>
      <w:tr>
        <w:trPr>
          <w:cantSplit/>
        </w:trPr>
        <w:tc>
          <w:tcPr>
            <w:tcW w:type="dxa" w:w="4320"/>
          </w:tcPr>
          <w:p>
            <w:r>
              <w:rPr>
                <w:sz w:val="16"/>
              </w:rPr>
              <w:t>1–2</w:t>
            </w:r>
          </w:p>
        </w:tc>
        <w:tc>
          <w:tcPr>
            <w:tcW w:type="dxa" w:w="4320"/>
          </w:tcPr>
          <w:p>
            <w:r>
              <w:t>Finalize service catalogue, launch zones, permissions, pricing/policies, brand assets and gateway; wireframes, data model and release-scope approval</w:t>
            </w:r>
          </w:p>
        </w:tc>
      </w:tr>
      <w:tr>
        <w:trPr>
          <w:cantSplit/>
        </w:trPr>
        <w:tc>
          <w:tcPr>
            <w:tcW w:type="dxa" w:w="4320"/>
          </w:tcPr>
          <w:p>
            <w:r>
              <w:rPr>
                <w:sz w:val="16"/>
              </w:rPr>
              <w:t>3–4</w:t>
            </w:r>
          </w:p>
        </w:tc>
        <w:tc>
          <w:tcPr>
            <w:tcW w:type="dxa" w:w="4320"/>
          </w:tcPr>
          <w:p>
            <w:r>
              <w:rPr>
                <w:sz w:val="16"/>
              </w:rPr>
              <w:t>Frontend design system, authentication, roles, service catalogue, booking APIs and MySQL schema</w:t>
            </w:r>
          </w:p>
        </w:tc>
      </w:tr>
      <w:tr>
        <w:trPr>
          <w:cantSplit/>
        </w:trPr>
        <w:tc>
          <w:tcPr>
            <w:tcW w:type="dxa" w:w="4320"/>
          </w:tcPr>
          <w:p>
            <w:r>
              <w:rPr>
                <w:sz w:val="16"/>
              </w:rPr>
              <w:t>5–6</w:t>
            </w:r>
          </w:p>
        </w:tc>
        <w:tc>
          <w:tcPr>
            <w:tcW w:type="dxa" w:w="4320"/>
          </w:tcPr>
          <w:p>
            <w:r>
              <w:rPr>
                <w:sz w:val="16"/>
              </w:rPr>
              <w:t>Booking checkout, MoMo/card integration, payment reconciliation, confirmation and owner dashboard baseline</w:t>
            </w:r>
          </w:p>
        </w:tc>
      </w:tr>
      <w:tr>
        <w:trPr>
          <w:cantSplit/>
        </w:trPr>
        <w:tc>
          <w:tcPr>
            <w:tcW w:type="dxa" w:w="4320"/>
          </w:tcPr>
          <w:p>
            <w:r>
              <w:rPr>
                <w:sz w:val="16"/>
              </w:rPr>
              <w:t>7–8</w:t>
            </w:r>
          </w:p>
        </w:tc>
        <w:tc>
          <w:tcPr>
            <w:tcW w:type="dxa" w:w="4320"/>
          </w:tcPr>
          <w:p>
            <w:r>
              <w:t>Cleaner portal, service checklists, GPS attendance, consent-based photo proof, job assignments, payroll hours/export</w:t>
            </w:r>
          </w:p>
        </w:tc>
      </w:tr>
      <w:tr>
        <w:trPr>
          <w:cantSplit/>
        </w:trPr>
        <w:tc>
          <w:tcPr>
            <w:tcW w:type="dxa" w:w="4320"/>
          </w:tcPr>
          <w:p>
            <w:r>
              <w:rPr>
                <w:sz w:val="16"/>
              </w:rPr>
              <w:t>9–10</w:t>
            </w:r>
          </w:p>
        </w:tc>
        <w:tc>
          <w:tcPr>
            <w:tcW w:type="dxa" w:w="4320"/>
          </w:tcPr>
          <w:p>
            <w:r>
              <w:rPr>
                <w:sz w:val="16"/>
              </w:rPr>
              <w:t>Feedback, complaints, approvals/audit, inventory/equipment, dashboard reports, alerts</w:t>
            </w:r>
          </w:p>
        </w:tc>
      </w:tr>
      <w:tr>
        <w:trPr>
          <w:cantSplit/>
        </w:trPr>
        <w:tc>
          <w:tcPr>
            <w:tcW w:type="dxa" w:w="4320"/>
          </w:tcPr>
          <w:p>
            <w:r>
              <w:rPr>
                <w:sz w:val="16"/>
              </w:rPr>
              <w:t>11</w:t>
            </w:r>
          </w:p>
        </w:tc>
        <w:tc>
          <w:tcPr>
            <w:tcW w:type="dxa" w:w="4320"/>
          </w:tcPr>
          <w:p>
            <w:r>
              <w:rPr>
                <w:sz w:val="16"/>
              </w:rPr>
              <w:t>Integration, automated tests, security hardening, staging UAT, bug fixing</w:t>
            </w:r>
          </w:p>
        </w:tc>
      </w:tr>
      <w:tr>
        <w:trPr>
          <w:cantSplit/>
        </w:trPr>
        <w:tc>
          <w:tcPr>
            <w:tcW w:type="dxa" w:w="4320"/>
          </w:tcPr>
          <w:p>
            <w:r>
              <w:rPr>
                <w:sz w:val="16"/>
              </w:rPr>
              <w:t>12</w:t>
            </w:r>
          </w:p>
        </w:tc>
        <w:tc>
          <w:tcPr>
            <w:tcW w:type="dxa" w:w="4320"/>
          </w:tcPr>
          <w:p>
            <w:r>
              <w:rPr>
                <w:sz w:val="16"/>
              </w:rPr>
              <w:t>Launch readiness, data/backup validation, staff training, production rollout and handover</w:t>
            </w:r>
          </w:p>
        </w:tc>
      </w:tr>
    </w:tbl>
    <w:p>
      <w:r>
        <w:t>Target delivery is 12 weeks, subject to agreed scope, team availability and acceptance gates. Booking, the owner dashboard and security are the highest priorities, supported by working payments and essential cleaner workflows. All modules listed in Section 4 are planned within this web project; any deferral requires agreement on a release checklist. Native app-store applications, vehicle tracking, automated route planning, multi-site corporate accounts and licensing the software to other businesses are outside the current delivery scope and can be considered separately.</w:t>
      </w:r>
    </w:p>
    <w:p>
      <w:pPr>
        <w:pStyle w:val="Heading1"/>
      </w:pPr>
      <w:r>
        <w:t>10 Team structure and responsibilities</w:t>
      </w:r>
    </w:p>
    <w:tbl>
      <w:tblPr>
        <w:tblStyle w:val="LightShading-Accent1"/>
        <w:tblW w:type="auto" w:w="0"/>
        <w:jc w:val="center"/>
        <w:tblLook w:firstColumn="1" w:firstRow="1" w:lastColumn="0" w:lastRow="0" w:noHBand="0" w:noVBand="1" w:val="04A0"/>
      </w:tblPr>
      <w:tblGrid>
        <w:gridCol w:w="2880"/>
        <w:gridCol w:w="2880"/>
        <w:gridCol w:w="2880"/>
      </w:tblGrid>
      <w:tr>
        <w:trPr>
          <w:tblHeader/>
          <w:cantSplit/>
        </w:trPr>
        <w:tc>
          <w:tcPr>
            <w:tcW w:type="dxa" w:w="2880"/>
          </w:tcPr>
          <w:p>
            <w:r>
              <w:rPr>
                <w:sz w:val="16"/>
              </w:rPr>
              <w:t>Role</w:t>
            </w:r>
          </w:p>
        </w:tc>
        <w:tc>
          <w:tcPr>
            <w:tcW w:type="dxa" w:w="2880"/>
          </w:tcPr>
          <w:p>
            <w:r>
              <w:rPr>
                <w:sz w:val="16"/>
              </w:rPr>
              <w:t>People</w:t>
            </w:r>
          </w:p>
        </w:tc>
        <w:tc>
          <w:tcPr>
            <w:tcW w:type="dxa" w:w="2880"/>
          </w:tcPr>
          <w:p>
            <w:r>
              <w:rPr>
                <w:sz w:val="16"/>
              </w:rPr>
              <w:t>Responsibilities</w:t>
            </w:r>
          </w:p>
        </w:tc>
      </w:tr>
      <w:tr>
        <w:trPr>
          <w:cantSplit/>
        </w:trPr>
        <w:tc>
          <w:tcPr>
            <w:tcW w:type="dxa" w:w="2880"/>
          </w:tcPr>
          <w:p>
            <w:r>
              <w:rPr>
                <w:sz w:val="16"/>
              </w:rPr>
              <w:t>Technical lead / project manager</w:t>
            </w:r>
          </w:p>
        </w:tc>
        <w:tc>
          <w:tcPr>
            <w:tcW w:type="dxa" w:w="2880"/>
          </w:tcPr>
          <w:p>
            <w:r>
              <w:rPr>
                <w:sz w:val="16"/>
              </w:rPr>
              <w:t>1</w:t>
            </w:r>
          </w:p>
        </w:tc>
        <w:tc>
          <w:tcPr>
            <w:tcW w:type="dxa" w:w="2880"/>
          </w:tcPr>
          <w:p>
            <w:r>
              <w:rPr>
                <w:sz w:val="16"/>
              </w:rPr>
              <w:t>Architecture, sprint planning, client decisions, code reviews and delivery</w:t>
            </w:r>
          </w:p>
        </w:tc>
      </w:tr>
      <w:tr>
        <w:trPr>
          <w:cantSplit/>
        </w:trPr>
        <w:tc>
          <w:tcPr>
            <w:tcW w:type="dxa" w:w="2880"/>
          </w:tcPr>
          <w:p>
            <w:r>
              <w:rPr>
                <w:sz w:val="16"/>
              </w:rPr>
              <w:t>Frontend developer</w:t>
            </w:r>
          </w:p>
        </w:tc>
        <w:tc>
          <w:tcPr>
            <w:tcW w:type="dxa" w:w="2880"/>
          </w:tcPr>
          <w:p>
            <w:r>
              <w:rPr>
                <w:sz w:val="16"/>
              </w:rPr>
              <w:t>1–2</w:t>
            </w:r>
          </w:p>
        </w:tc>
        <w:tc>
          <w:tcPr>
            <w:tcW w:type="dxa" w:w="2880"/>
          </w:tcPr>
          <w:p>
            <w:r>
              <w:rPr>
                <w:sz w:val="16"/>
              </w:rPr>
              <w:t>React/TypeScript/Redux, customer flow, dashboards and mobile staff portal</w:t>
            </w:r>
          </w:p>
        </w:tc>
      </w:tr>
      <w:tr>
        <w:trPr>
          <w:cantSplit/>
        </w:trPr>
        <w:tc>
          <w:tcPr>
            <w:tcW w:type="dxa" w:w="2880"/>
          </w:tcPr>
          <w:p>
            <w:r>
              <w:rPr>
                <w:sz w:val="16"/>
              </w:rPr>
              <w:t>Backend developer</w:t>
            </w:r>
          </w:p>
        </w:tc>
        <w:tc>
          <w:tcPr>
            <w:tcW w:type="dxa" w:w="2880"/>
          </w:tcPr>
          <w:p>
            <w:r>
              <w:rPr>
                <w:sz w:val="16"/>
              </w:rPr>
              <w:t>1–2</w:t>
            </w:r>
          </w:p>
        </w:tc>
        <w:tc>
          <w:tcPr>
            <w:tcW w:type="dxa" w:w="2880"/>
          </w:tcPr>
          <w:p>
            <w:r>
              <w:rPr>
                <w:sz w:val="16"/>
              </w:rPr>
              <w:t>Express, MySQL, payments, roles, audit, jobs and Socket.IO</w:t>
            </w:r>
          </w:p>
        </w:tc>
      </w:tr>
      <w:tr>
        <w:trPr>
          <w:cantSplit/>
        </w:trPr>
        <w:tc>
          <w:tcPr>
            <w:tcW w:type="dxa" w:w="2880"/>
          </w:tcPr>
          <w:p>
            <w:r>
              <w:rPr>
                <w:sz w:val="16"/>
              </w:rPr>
              <w:t>UI/UX designer</w:t>
            </w:r>
          </w:p>
        </w:tc>
        <w:tc>
          <w:tcPr>
            <w:tcW w:type="dxa" w:w="2880"/>
          </w:tcPr>
          <w:p>
            <w:r>
              <w:rPr>
                <w:sz w:val="16"/>
              </w:rPr>
              <w:t>1 (part-time)</w:t>
            </w:r>
          </w:p>
        </w:tc>
        <w:tc>
          <w:tcPr>
            <w:tcW w:type="dxa" w:w="2880"/>
          </w:tcPr>
          <w:p>
            <w:r>
              <w:rPr>
                <w:sz w:val="16"/>
              </w:rPr>
              <w:t>Wireframes, design system, usability and accessibility</w:t>
            </w:r>
          </w:p>
        </w:tc>
      </w:tr>
      <w:tr>
        <w:trPr>
          <w:cantSplit/>
        </w:trPr>
        <w:tc>
          <w:tcPr>
            <w:tcW w:type="dxa" w:w="2880"/>
          </w:tcPr>
          <w:p>
            <w:r>
              <w:rPr>
                <w:sz w:val="16"/>
              </w:rPr>
              <w:t>QA engineer</w:t>
            </w:r>
          </w:p>
        </w:tc>
        <w:tc>
          <w:tcPr>
            <w:tcW w:type="dxa" w:w="2880"/>
          </w:tcPr>
          <w:p>
            <w:r>
              <w:rPr>
                <w:sz w:val="16"/>
              </w:rPr>
              <w:t>1 (part-time)</w:t>
            </w:r>
          </w:p>
        </w:tc>
        <w:tc>
          <w:tcPr>
            <w:tcW w:type="dxa" w:w="2880"/>
          </w:tcPr>
          <w:p>
            <w:r>
              <w:rPr>
                <w:sz w:val="16"/>
              </w:rPr>
              <w:t>Test plans, Mocha/Jest/E2E automation, regression and UAT</w:t>
            </w:r>
          </w:p>
        </w:tc>
      </w:tr>
      <w:tr>
        <w:trPr>
          <w:cantSplit/>
        </w:trPr>
        <w:tc>
          <w:tcPr>
            <w:tcW w:type="dxa" w:w="2880"/>
          </w:tcPr>
          <w:p>
            <w:r>
              <w:rPr>
                <w:sz w:val="16"/>
              </w:rPr>
              <w:t>DevOps / cloud engineer</w:t>
            </w:r>
          </w:p>
        </w:tc>
        <w:tc>
          <w:tcPr>
            <w:tcW w:type="dxa" w:w="2880"/>
          </w:tcPr>
          <w:p>
            <w:r>
              <w:rPr>
                <w:sz w:val="16"/>
              </w:rPr>
              <w:t>1 (part-time)</w:t>
            </w:r>
          </w:p>
        </w:tc>
        <w:tc>
          <w:tcPr>
            <w:tcW w:type="dxa" w:w="2880"/>
          </w:tcPr>
          <w:p>
            <w:r>
              <w:rPr>
                <w:sz w:val="16"/>
              </w:rPr>
              <w:t>CI/CD, domain, hosting, TLS, database backups and monitoring</w:t>
            </w:r>
          </w:p>
        </w:tc>
      </w:tr>
    </w:tbl>
    <w:p>
      <w:r>
        <w:t>Recommended staffing: 5–6 contributors with overlapping roles (roughly 3–4 full-time equivalents). Lean alternative: 3 experienced contributors combining frontend, backend/lead and design/QA/DevOps; significantly higher schedule risk. The owner/product representative must be available for weekly decisions and acceptance.</w:t>
      </w:r>
    </w:p>
    <w:p>
      <w:pPr>
        <w:pStyle w:val="Heading1"/>
      </w:pPr>
      <w:r>
        <w:t>11 Cost and support boundaries</w:t>
      </w:r>
    </w:p>
    <w:tbl>
      <w:tblPr>
        <w:tblStyle w:val="LightShading-Accent1"/>
        <w:tblW w:type="auto" w:w="0"/>
        <w:jc w:val="center"/>
        <w:tblLook w:firstColumn="1" w:firstRow="1" w:lastColumn="0" w:lastRow="0" w:noHBand="0" w:noVBand="1" w:val="04A0"/>
      </w:tblPr>
      <w:tblGrid>
        <w:gridCol w:w="4320"/>
        <w:gridCol w:w="4320"/>
      </w:tblGrid>
      <w:tr>
        <w:trPr>
          <w:tblHeader/>
          <w:cantSplit/>
        </w:trPr>
        <w:tc>
          <w:tcPr>
            <w:tcW w:type="dxa" w:w="4320"/>
          </w:tcPr>
          <w:p>
            <w:r>
              <w:rPr>
                <w:sz w:val="16"/>
              </w:rPr>
              <w:t>Cost item</w:t>
            </w:r>
          </w:p>
        </w:tc>
        <w:tc>
          <w:tcPr>
            <w:tcW w:type="dxa" w:w="4320"/>
          </w:tcPr>
          <w:p>
            <w:r>
              <w:rPr>
                <w:sz w:val="16"/>
              </w:rPr>
              <w:t>Responsibility</w:t>
            </w:r>
          </w:p>
        </w:tc>
      </w:tr>
      <w:tr>
        <w:trPr>
          <w:cantSplit/>
        </w:trPr>
        <w:tc>
          <w:tcPr>
            <w:tcW w:type="dxa" w:w="4320"/>
          </w:tcPr>
          <w:p>
            <w:r>
              <w:rPr>
                <w:sz w:val="16"/>
              </w:rPr>
              <w:t>Software development labour</w:t>
            </w:r>
          </w:p>
        </w:tc>
        <w:tc>
          <w:tcPr>
            <w:tcW w:type="dxa" w:w="4320"/>
          </w:tcPr>
          <w:p>
            <w:r>
              <w:rPr>
                <w:sz w:val="16"/>
              </w:rPr>
              <w:t>Developer/team contribution: no development fee</w:t>
            </w:r>
          </w:p>
        </w:tc>
      </w:tr>
      <w:tr>
        <w:trPr>
          <w:cantSplit/>
        </w:trPr>
        <w:tc>
          <w:tcPr>
            <w:tcW w:type="dxa" w:w="4320"/>
          </w:tcPr>
          <w:p>
            <w:r>
              <w:rPr>
                <w:sz w:val="16"/>
              </w:rPr>
              <w:t>Domain, hosting, managed database, storage, backup</w:t>
            </w:r>
          </w:p>
        </w:tc>
        <w:tc>
          <w:tcPr>
            <w:tcW w:type="dxa" w:w="4320"/>
          </w:tcPr>
          <w:p>
            <w:r>
              <w:rPr>
                <w:sz w:val="16"/>
              </w:rPr>
              <w:t>Client-funded recurring charges</w:t>
            </w:r>
          </w:p>
        </w:tc>
      </w:tr>
      <w:tr>
        <w:trPr>
          <w:cantSplit/>
        </w:trPr>
        <w:tc>
          <w:tcPr>
            <w:tcW w:type="dxa" w:w="4320"/>
          </w:tcPr>
          <w:p>
            <w:r>
              <w:rPr>
                <w:sz w:val="16"/>
              </w:rPr>
              <w:t>Payment gateway fees and settlement</w:t>
            </w:r>
          </w:p>
        </w:tc>
        <w:tc>
          <w:tcPr>
            <w:tcW w:type="dxa" w:w="4320"/>
          </w:tcPr>
          <w:p>
            <w:r>
              <w:rPr>
                <w:sz w:val="16"/>
              </w:rPr>
              <w:t>Client merchant account; provider fees apply</w:t>
            </w:r>
          </w:p>
        </w:tc>
      </w:tr>
      <w:tr>
        <w:trPr>
          <w:cantSplit/>
        </w:trPr>
        <w:tc>
          <w:tcPr>
            <w:tcW w:type="dxa" w:w="4320"/>
          </w:tcPr>
          <w:p>
            <w:r>
              <w:rPr>
                <w:sz w:val="16"/>
              </w:rPr>
              <w:t>SMS, email, maps and other third parties</w:t>
            </w:r>
          </w:p>
        </w:tc>
        <w:tc>
          <w:tcPr>
            <w:tcW w:type="dxa" w:w="4320"/>
          </w:tcPr>
          <w:p>
            <w:r>
              <w:rPr>
                <w:sz w:val="16"/>
              </w:rPr>
              <w:t>Client-funded based on usage</w:t>
            </w:r>
          </w:p>
        </w:tc>
      </w:tr>
      <w:tr>
        <w:trPr>
          <w:cantSplit/>
        </w:trPr>
        <w:tc>
          <w:tcPr>
            <w:tcW w:type="dxa" w:w="4320"/>
          </w:tcPr>
          <w:p>
            <w:r>
              <w:rPr>
                <w:sz w:val="16"/>
              </w:rPr>
              <w:t>Post-launch maintenance</w:t>
            </w:r>
          </w:p>
        </w:tc>
        <w:tc>
          <w:tcPr>
            <w:tcW w:type="dxa" w:w="4320"/>
          </w:tcPr>
          <w:p>
            <w:r>
              <w:rPr>
                <w:sz w:val="16"/>
              </w:rPr>
              <w:t>Scope, support window, response times and ongoing responsibility to be agreed in writing</w:t>
            </w:r>
          </w:p>
        </w:tc>
      </w:tr>
    </w:tbl>
    <w:p>
      <w:r>
        <w:t>Software development labour is provided pro bono. The client funds approved domain, hosting, database, storage, messaging, payment processing and other third-party charges. No fixed operating-cost estimate is committed in this document. Support duration, bug-fix coverage, maintenance responsibilities and any future fees must be agreed in writing.</w:t>
      </w:r>
    </w:p>
    <w:p>
      <w:pPr>
        <w:pStyle w:val="Heading1"/>
      </w:pPr>
      <w:r>
        <w:t>12 Business decisions and launch dependencies</w:t>
      </w:r>
    </w:p>
    <w:p>
      <w:pPr>
        <w:pStyle w:val="ListBullet"/>
      </w:pPr>
      <w:r>
        <w:t>Final service pricing — Indicative GHS ranges are: standard home clean 450–900; housekeeping 1,600–3,500/month; deep clean 1,500–4,500; move-in/out 1,800–5,000; Airbnb turnover 300–700; periodic office cleaning 2,500–6,000/month; daily office cleaning 3,500–15,000/month; washroom hygiene 500–3,000/month; carpet/upholstery 150–400/seat; floor scrubbing/polishing 15–35/m²; post-construction cleaning 20–45/m²; partner-delivered pest control 800–5,000; contract cleaning approximately 3,000/cleaner/month. These are planning ranges, excluding applicable taxes and levies. Before live checkout, approve launch services, exact pricing rules, property-size inputs, extras, deposits, subscription terms and tax treatment.</w:t>
      </w:r>
    </w:p>
    <w:p>
      <w:pPr>
        <w:pStyle w:val="ListBullet"/>
      </w:pPr>
      <w:r>
        <w:t>Service area and availability — Launch coverage is Accra/Greater Accra, with an Oyarifa operating base. Before booking rules are finalized, approve exact service zones, travel charges, working days/hours, appointment capacity, lead times and rescheduling/cancellation/refund policies. Define the eligibility and time window for the 24-hour re-clean guarantee.</w:t>
      </w:r>
    </w:p>
    <w:p>
      <w:pPr>
        <w:pStyle w:val="ListBullet"/>
      </w:pPr>
      <w:r>
        <w:t>Payment setup — GHS is the launch checkout baseline, with MoMo and cards settling to the company account. USD checkout remains a decision for the owner. Select the gateway and required MoMo networks, confirm the merchant entity and settlement account, and approve processing costs before integration and live activation.</w:t>
      </w:r>
    </w:p>
    <w:p>
      <w:pPr>
        <w:pStyle w:val="ListBullet"/>
      </w:pPr>
      <w:r>
        <w:t>Staff and approval controls — Plan for 5 cleaners, including a team leader, and 1 operations manager at launch. Managers handle assignments, attendance review and limited operational payment reporting. Full financials, price and discount-limit changes, admin-user management and full data exports are owner-only. Approve numeric discount/refund limits, any supervisor/accountant roles and the payroll export format before these workflows are finalized.</w:t>
      </w:r>
    </w:p>
    <w:p>
      <w:pPr>
        <w:pStyle w:val="ListBullet"/>
      </w:pPr>
      <w:r>
        <w:t>Attendance and photo policies — Define GPS proximity and accuracy tolerances, missed-event review, offline submission behavior, photo retention and customer consent wording. Original attendance events must remain intact; corrections require separate audited review records. Photograph rooms and surfaces only, never people or personal documents. Customers access only their own job photos.</w:t>
      </w:r>
    </w:p>
    <w:p>
      <w:pPr>
        <w:pStyle w:val="ListBullet"/>
      </w:pPr>
      <w:r>
        <w:t>Branding and operating accounts — Provide logo files, brand colours and the preferred domain. Approve messaging and alert channels, provider costs and a recurring operating budget before paid services are activated. Set up production accounts with company ownership and delegated developer access, subject to written agreement.</w:t>
      </w:r>
    </w:p>
    <w:p>
      <w:pPr>
        <w:pStyle w:val="ListBullet"/>
      </w:pPr>
      <w:r>
        <w:t>Release scope — Agree the first-release feature checklist against Section 4 and the 12-week schedule. Confirm team availability and any phased delivery before promising a fixed launch date. Future native applications and corporate account extensions require separate scope and estimates.</w:t>
      </w:r>
    </w:p>
    <w:p>
      <w:pPr>
        <w:pStyle w:val="ListBullet"/>
      </w:pPr>
      <w:r>
        <w:t>Manager financial visibility — Approve the exact invoice/payment-status and operational report fields managers can access. Enforce owner-only access to full financials, profit and full data exports on the server and in the interface.</w:t>
      </w:r>
    </w:p>
    <w:p>
      <w:pPr>
        <w:pStyle w:val="ListBullet"/>
      </w:pPr>
      <w:r>
        <w:t>Acceptance and handover — Company data belongs to the business. Agree source-code/IP ownership, repository access, production-account ownership, developer access, the bug-fix window and ongoing maintenance responsibilities in writing. Name the client acceptance representative and use the release gates in Section 8 for final approval.</w:t>
      </w:r>
    </w:p>
    <w:p>
      <w:pPr>
        <w:pStyle w:val="Heading1"/>
      </w:pPr>
      <w:r>
        <w:t>13 Client approval</w:t>
      </w:r>
    </w:p>
    <w:p>
      <w:r>
        <w:t>Approval establishes the feature scope and delivery baseline for this web platform. Architecture, wireframes and data modelling may proceed while pending business decisions are resolved. Decisions affecting prices, policies or payment activation must be settled before those features go live. Production launch requires successful acceptance testing and client sign-off.</w:t>
      </w:r>
    </w:p>
    <w:p>
      <w:r>
        <w:t>Client representative: _____________________    Date: ______________</w:t>
      </w:r>
    </w:p>
    <w:p>
      <w:r>
        <w:t>Development lead: _______________________    Date: ______________</w:t>
      </w:r>
    </w:p>
    <w:sectPr w:rsidR="00FC693F" w:rsidRPr="0006063C" w:rsidSect="00034616">
      <w:footerReference w:type="default" r:id="rId9"/>
      <w:pgSz w:w="12240" w:h="15840"/>
      <w:pgMar w:top="1152"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AHODEN ELITE CLEAN  •  PRD v1.0  •  For client approval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60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604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3604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