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Read Me for Counsel</w:t>
      </w:r>
    </w:p>
    <w:p>
      <w:pPr>
        <w:spacing w:after="120"/>
      </w:pPr>
      <w:r>
        <w:t>Polymarket “US x Iran permanent peace deal by June 15, 2026” disputed resolution</w:t>
      </w:r>
    </w:p>
    <w:p>
      <w:pPr>
        <w:spacing w:after="120"/>
      </w:pPr>
      <w:r>
        <w:t>Prepared for initial law firm review</w:t>
      </w:r>
    </w:p>
    <w:p>
      <w:pPr>
        <w:spacing w:after="120"/>
      </w:pPr>
      <w:r>
        <w:t>Date: 21 June 2026</w:t>
      </w:r>
    </w:p>
    <w:p>
      <w:pPr>
        <w:spacing w:after="120"/>
      </w:pPr>
      <w:r>
        <w:t>Confidentiality: Attorney review and claimant group internal use</w:t>
      </w:r>
    </w:p>
    <w:p>
      <w:pPr>
        <w:pStyle w:val="Heading1"/>
      </w:pPr>
      <w:r>
        <w:t>1. Purpose of this note</w:t>
      </w:r>
    </w:p>
    <w:p>
      <w:pPr>
        <w:spacing w:after="120"/>
      </w:pPr>
      <w:r>
        <w:t>This Read Me is intended to give counsel a clear first view of the dispute, the current evidence archive, the strongest factual leads, the damages analysis, and the open issues that require legal review or discovery.</w:t>
      </w:r>
    </w:p>
    <w:p>
      <w:pPr>
        <w:spacing w:after="120"/>
      </w:pPr>
      <w:r>
        <w:t>The claimant group is not asking counsel to rely on Discord messages as the primary evidence. Discord has been used as an intake location where participants submit files, screenshots, links, transaction hashes, market records, wallet records, and analysis. The underlying materials are being preserved separately, indexed in an evidence register, and hashed for integrity.</w:t>
      </w:r>
    </w:p>
    <w:p>
      <w:pPr>
        <w:spacing w:after="120"/>
      </w:pPr>
      <w:r>
        <w:t>Counsel should treat this document as an intake and orientation note, not as a pleading. It separates documented records, claimant allegations, analytical inferences, and open questions.</w:t>
      </w:r>
    </w:p>
    <w:p>
      <w:pPr>
        <w:pStyle w:val="Heading1"/>
      </w:pPr>
      <w:r>
        <w:t>2. Executive summary</w:t>
      </w:r>
    </w:p>
    <w:p>
      <w:pPr>
        <w:spacing w:after="120"/>
      </w:pPr>
      <w:r>
        <w:t>The claimant group seeks legal review of the Polymarket market titled “US x Iran permanent peace deal by June 15, 2026.” The group’s position is that the written market rules required a qualifying permanent peace agreement between the United States and Iran by 11:59 PM Eastern Time on 15 June 2026. The group’s analysis has not identified a qualifying agreement by that deadline, yet the market resolved to YES after the UMA related resolution process.</w:t>
      </w:r>
    </w:p>
    <w:p>
      <w:pPr>
        <w:spacing w:after="120"/>
      </w:pPr>
      <w:r>
        <w:t>The alleged harm is substantial. The disputed market pool was reported by the group as approximately USD 475 million. One organizer reports a personal loss of approximately USD 2.3 thousand. The claimant group has gathered approximately 200 or more affected or interested participants through Discord. Derived loss analysis currently estimates approximately USD 87.37 million in NO holder losses across six related markets, including approximately USD 68.28 million attributed to the June 15 market. These loss figures should be treated as derived analysis until tied to primary snapshots, trade records, wallet ownership, and claimant specific records.</w:t>
      </w:r>
    </w:p>
    <w:p>
      <w:pPr>
        <w:spacing w:after="120"/>
      </w:pPr>
      <w:r>
        <w:t>The strongest current evidence themes are as follows.</w:t>
      </w:r>
    </w:p>
    <w:p>
      <w:pPr>
        <w:pStyle w:val="ListNumber"/>
        <w:spacing w:after="40"/>
      </w:pPr>
      <w:r>
        <w:t>The rule based dispute: the group contends that no qualifying permanent peace deal existed by the deadline required by the written rules.</w:t>
      </w:r>
    </w:p>
    <w:p>
      <w:pPr>
        <w:pStyle w:val="ListNumber"/>
        <w:spacing w:after="40"/>
      </w:pPr>
      <w:r>
        <w:t>Market identity and oracle linkage: the investigation has preserved a chain linking the public Polymarket market to Polymarket metadata, question identifiers, token identifiers, Polygon resolution records, and UMA DVM voting round 10310.</w:t>
      </w:r>
    </w:p>
    <w:p>
      <w:pPr>
        <w:pStyle w:val="ListNumber"/>
        <w:spacing w:after="40"/>
      </w:pPr>
      <w:r>
        <w:t>UMA vote reconstruction: the available UMA evidence identifies voting round 10310, price identifier YES_OR_NO_QUERY, the relevant ancillary data hash, and substantial YES voting power with concentration.</w:t>
      </w:r>
    </w:p>
    <w:p>
      <w:pPr>
        <w:pStyle w:val="ListNumber"/>
        <w:spacing w:after="40"/>
      </w:pPr>
      <w:r>
        <w:t>Trading and redemption evidence: the investigation identified YES buyers, ERC1155 token movement, redemption activity, and post resolution payout activity.</w:t>
      </w:r>
    </w:p>
    <w:p>
      <w:pPr>
        <w:pStyle w:val="ListNumber"/>
        <w:spacing w:after="40"/>
      </w:pPr>
      <w:r>
        <w:t>ARB resolution process lead: an important lead concerns the Polymarket profile or wallet associated with ArmageddonRewardsBilly, wallet 0xc8ab97a9089a9ff7e6ef0688e6e591a066946418. The evidence supports that this Safe wallet held a material YES position, that the exact market was resolved YES through a transaction executed through that Safe, and that post resolution proceeds were received or are strongly indicated by preserved transaction records.</w:t>
      </w:r>
    </w:p>
    <w:p>
      <w:pPr>
        <w:pStyle w:val="ListNumber"/>
        <w:spacing w:after="40"/>
      </w:pPr>
      <w:r>
        <w:t>Earlier wallet link results: direct same address and simple funding link checks between UMA voters and Polymarket YES buyers or redeemers did not identify a simple transaction supported link in the tested data. This does not defeat the claim. It narrowed the wallet tracing branch and increased the importance of the rule interpretation, resolution process, conflict of interest, trading benefit, and discovery questions.</w:t>
      </w:r>
    </w:p>
    <w:p>
      <w:pPr>
        <w:pStyle w:val="ListNumber"/>
        <w:spacing w:after="40"/>
      </w:pPr>
      <w:r>
        <w:t>New targeted wallet findings: later depth-4 and suspect-profiler outputs identified stronger suspect-specific leads, including direct ARB to tf2 transfers, a large shared funding network around 0xc417fd..., GroyperFinance funding plus UMA oracle infrastructure interaction, and secretscent / RockSolidBond / intermediary flows involving UMA proposer lead 0xc337....</w:t>
      </w:r>
    </w:p>
    <w:p>
      <w:pPr>
        <w:pStyle w:val="Heading1"/>
      </w:pPr>
      <w:r>
        <w:t>3. Reported background</w:t>
      </w:r>
    </w:p>
    <w:p>
      <w:pPr>
        <w:spacing w:after="120"/>
      </w:pPr>
      <w:r>
        <w:t>The relevant market was “US x Iran permanent peace deal by June 15, 2026.” The claimant group reports that the challenged events occurred around 15 June through 18 June 2026. The market allegedly resolved YES despite the claimant group’s view that the written YES criteria were not met by the deadline.</w:t>
      </w:r>
    </w:p>
    <w:p>
      <w:pPr>
        <w:spacing w:after="120"/>
      </w:pPr>
      <w:r>
        <w:t>The claimant group’s core concern is not merely that traders lost a prediction market. The central concern is that the resolution may have departed from the written criteria presented to market participants, and that certain actors may have had financial exposure or process roles that require investigation.</w:t>
      </w:r>
    </w:p>
    <w:p>
      <w:pPr>
        <w:spacing w:after="120"/>
      </w:pPr>
      <w:r>
        <w:t>The group intends to organize claimant participation and litigation costs through a law firm trust account or another counsel supervised mechanism, rather than allowing one individual to personally hold group funds.</w:t>
      </w:r>
    </w:p>
    <w:p>
      <w:pPr>
        <w:pStyle w:val="Heading1"/>
      </w:pPr>
      <w:r>
        <w:t>4. Market rule issue for counsel</w:t>
      </w:r>
    </w:p>
    <w:p>
      <w:pPr>
        <w:spacing w:after="120"/>
      </w:pPr>
      <w:r>
        <w:t>The rule text supplied by the group states that the market would resolve YES if Iran and the United States agreed to a permanent peace deal by the specified date, 11:59 PM Eastern Time. A permanent peace deal was described as an agreement explicitly indicating that military hostilities between the United States and Iran had ended or would permanently cease, or equivalent language clearly signaling a lasting end to military hostilities. Temporary extensions or arrangements that did not definitively end hostilities on a lasting basis would not qualify.</w:t>
      </w:r>
    </w:p>
    <w:p>
      <w:pPr>
        <w:spacing w:after="120"/>
      </w:pPr>
      <w:r>
        <w:t>The claimant group’s merits position is that the public record before 11:59 PM Eastern Time on 15 June 2026 did not satisfy the written criteria. Counsel should independently verify the following.</w:t>
      </w:r>
    </w:p>
    <w:p>
      <w:pPr>
        <w:pStyle w:val="ListNumber"/>
        <w:spacing w:after="40"/>
      </w:pPr>
      <w:r>
        <w:t>Whether any qualifying written agreement, official announcement, signed instrument, joint statement, formal confirmation, or equivalent source existed by the deadline.</w:t>
      </w:r>
    </w:p>
    <w:p>
      <w:pPr>
        <w:pStyle w:val="ListNumber"/>
        <w:spacing w:after="40"/>
      </w:pPr>
      <w:r>
        <w:t>Whether any source used language that clearly signaled a permanent end to United States and Iran military hostilities.</w:t>
      </w:r>
    </w:p>
    <w:p>
      <w:pPr>
        <w:pStyle w:val="ListNumber"/>
        <w:spacing w:after="40"/>
      </w:pPr>
      <w:r>
        <w:t>Whether any later event, temporary arrangement, disputed statement, or unrelated physical signing market was improperly treated as satisfying this market.</w:t>
      </w:r>
    </w:p>
    <w:p>
      <w:pPr>
        <w:pStyle w:val="ListNumber"/>
        <w:spacing w:after="40"/>
      </w:pPr>
      <w:r>
        <w:t>Whether the ultimate YES resolution was consistent with Polymarket’s own rules, public representations, and any applicable dispute process.</w:t>
      </w:r>
    </w:p>
    <w:p>
      <w:pPr>
        <w:pStyle w:val="Heading1"/>
      </w:pPr>
      <w:r>
        <w:t>5. Current evidence organization</w:t>
      </w:r>
    </w:p>
    <w:p>
      <w:pPr>
        <w:spacing w:after="120"/>
      </w:pPr>
      <w:r>
        <w:t>The evidence archive is being divided into original evidence and lawyer facing working material.</w:t>
      </w:r>
    </w:p>
    <w:p>
      <w:pPr>
        <w:spacing w:after="120"/>
      </w:pPr>
      <w:r>
        <w:t>Original evidence is preserved in unmodified form where available. Working copies, summaries, extracted CSV files, screenshots, hash files, and explanatory notes are kept separately. The evidence register is intended to identify each item, its source, collection date, relevance, verification status, related evidence, hash value, and confidentiality level.</w:t>
      </w:r>
    </w:p>
    <w:p>
      <w:pPr>
        <w:spacing w:after="120"/>
      </w:pPr>
      <w:r>
        <w:t>Important preservation principles already adopted are as follows.</w:t>
      </w:r>
    </w:p>
    <w:p>
      <w:pPr>
        <w:pStyle w:val="ListNumber"/>
        <w:spacing w:after="40"/>
      </w:pPr>
      <w:r>
        <w:t>Discord is treated as an intake and provenance location, not as the primary evidence.</w:t>
      </w:r>
    </w:p>
    <w:p>
      <w:pPr>
        <w:pStyle w:val="ListNumber"/>
        <w:spacing w:after="40"/>
      </w:pPr>
      <w:r>
        <w:t>Original files should not be edited, overwritten, annotated, or renamed as the only copy.</w:t>
      </w:r>
    </w:p>
    <w:p>
      <w:pPr>
        <w:pStyle w:val="ListNumber"/>
        <w:spacing w:after="40"/>
      </w:pPr>
      <w:r>
        <w:t>Each material file should receive a stable evidence ID and a SHA 256 hash.</w:t>
      </w:r>
    </w:p>
    <w:p>
      <w:pPr>
        <w:pStyle w:val="ListNumber"/>
        <w:spacing w:after="40"/>
      </w:pPr>
      <w:r>
        <w:t>Negative results should be preserved because they show what was tested and what was ruled out.</w:t>
      </w:r>
    </w:p>
    <w:p>
      <w:pPr>
        <w:pStyle w:val="ListNumber"/>
        <w:spacing w:after="40"/>
      </w:pPr>
      <w:r>
        <w:t>Legal conclusions such as fraud, collusion, manipulation, or theft should be avoided in file names and evidence descriptions unless counsel determines that the record supports those characterizations.</w:t>
      </w:r>
    </w:p>
    <w:p>
      <w:pPr>
        <w:pStyle w:val="Heading1"/>
      </w:pPr>
      <w:r>
        <w:t>6. Market identity and UMA linkage evidence</w:t>
      </w:r>
    </w:p>
    <w:p>
      <w:pPr>
        <w:spacing w:after="120"/>
      </w:pPr>
      <w:r>
        <w:t>The investigation has focused on proving the identity chain from the public Polymarket market to the UMA related vote and final on chain resolution.</w:t>
      </w:r>
    </w:p>
    <w:p>
      <w:pPr>
        <w:spacing w:after="120"/>
      </w:pPr>
      <w:r>
        <w:t>Key preserved or identified elements include the market title, final outcome as resolved YES, final settlement time reported as 18 June 2026 at 00:32:19 UTC, UMA DVM voting round 10310, price identifier YES_OR_NO_QUERY, question ID, condition ID, ancillary data hash, outcome order, CLOB token IDs, Polygon child request information, Polygon adapter information, Ethereum UMA VoteRevealed events, and YES voting concentration.</w:t>
      </w:r>
    </w:p>
    <w:p>
      <w:pPr>
        <w:spacing w:after="120"/>
      </w:pPr>
      <w:r>
        <w:t xml:space="preserve">A key child ancillary data hash identified in the investigation is </w:t>
      </w:r>
      <w:r>
        <w:rPr>
          <w:rFonts w:ascii="Courier New" w:hAnsi="Courier New"/>
          <w:sz w:val="18"/>
        </w:rPr>
        <w:t>0xfebefea9c50649e612e994415e1aade270fc67155c424bcef61618f5c5645be6</w:t>
      </w:r>
      <w:r>
        <w:t xml:space="preserve">. The related child chain ID is 137. The child oracle identified was </w:t>
      </w:r>
      <w:r>
        <w:rPr>
          <w:rFonts w:ascii="Courier New" w:hAnsi="Courier New"/>
          <w:sz w:val="18"/>
        </w:rPr>
        <w:t>0xac60353a54873c446101216829a6a98cdbbc3f3d</w:t>
      </w:r>
      <w:r>
        <w:t xml:space="preserve">. The child requester identified was </w:t>
      </w:r>
      <w:r>
        <w:rPr>
          <w:rFonts w:ascii="Courier New" w:hAnsi="Courier New"/>
          <w:sz w:val="18"/>
        </w:rPr>
        <w:t>0x2c0367a9db231ddebd88a94b4f6461a6e47c58b1</w:t>
      </w:r>
      <w:r>
        <w:t>.</w:t>
      </w:r>
    </w:p>
    <w:p>
      <w:pPr>
        <w:spacing w:after="120"/>
      </w:pPr>
      <w:r>
        <w:t xml:space="preserve">The exact market condition ID identified in the ARB resolution evidence is </w:t>
      </w:r>
      <w:r>
        <w:rPr>
          <w:rFonts w:ascii="Courier New" w:hAnsi="Courier New"/>
          <w:sz w:val="18"/>
        </w:rPr>
        <w:t>0xd86a816093fcd0a0e1ca440bc5ce199bd3c5a8d6139e044b076958164f8c5423</w:t>
      </w:r>
      <w:r>
        <w:t xml:space="preserve">. The corresponding question ID identified there is </w:t>
      </w:r>
      <w:r>
        <w:rPr>
          <w:rFonts w:ascii="Courier New" w:hAnsi="Courier New"/>
          <w:sz w:val="18"/>
        </w:rPr>
        <w:t>0xb0bca505e898b79087fd5057f67c181f661d13ca1a5a091a3db0978a30de125b</w:t>
      </w:r>
      <w:r>
        <w:t>.</w:t>
      </w:r>
    </w:p>
    <w:p>
      <w:pPr>
        <w:spacing w:after="120"/>
      </w:pPr>
      <w:r>
        <w:t>This identity chain is important because counsel must be able to show that the vote records, resolution records, token records, trades, redemptions, and damages analysis all concern the same market or clearly identified related markets.</w:t>
      </w:r>
    </w:p>
    <w:p>
      <w:pPr>
        <w:pStyle w:val="Heading1"/>
      </w:pPr>
      <w:r>
        <w:t>7. UMA vote evidence and current interpretation</w:t>
      </w:r>
    </w:p>
    <w:p>
      <w:pPr>
        <w:spacing w:after="120"/>
      </w:pPr>
      <w:r>
        <w:t>The UMA side evidence supports that the relevant vote involved UMA round 10310, price identifier YES_OR_NO_QUERY, and the relevant ancillary data hash. The reconstructed vote materials showed substantial YES side UMA voting power and concentration.</w:t>
      </w:r>
    </w:p>
    <w:p>
      <w:pPr>
        <w:spacing w:after="120"/>
      </w:pPr>
      <w:r>
        <w:t>The current evidence should be framed carefully. It is appropriate to state that certain UMA voting records supported the YES outcome in the disputed round and that the vote appears highly consequential to the market result. It is not yet appropriate to state that specific UMA voters personally traded or profited on Polymarket unless that is supported by direct wallet evidence, high confidence wallet attribution, or discovery.</w:t>
      </w:r>
    </w:p>
    <w:p>
      <w:pPr>
        <w:spacing w:after="120"/>
      </w:pPr>
      <w:r>
        <w:t>The absence of exact same address matches between UMA voting wallets and Polymarket trading wallets is not surprising. UMA voting occurs on Ethereum, while Polymarket trading and redemption activity occurs on Polygon, often through proxy wallets, Safe wallets, delegate arrangements, custodial flows, or separate addresses. A direct match would be strong, but lack of a direct match does not rule out beneficial ownership, coordination, conflict, delegation, or off chain relationships.</w:t>
      </w:r>
    </w:p>
    <w:p>
      <w:pPr>
        <w:pStyle w:val="Heading1"/>
      </w:pPr>
      <w:r>
        <w:t>8. Trading, token movement, and redemption evidence</w:t>
      </w:r>
    </w:p>
    <w:p>
      <w:pPr>
        <w:spacing w:after="120"/>
      </w:pPr>
      <w:r>
        <w:t>The investigation collected Polymarket YES buyer activity for the target market and related Iran peace deal markets. A cross market YES buyer review identified approximately 777 unique YES buyer wallets. The analysis grouped wallets into target only buyers, target plus future market buyers, and future market only buyers. Approximate notional totals were about USD 1.54 million for target only buyers, about USD 2.97 million for target and future buyers, and about USD 6.97 million for future market only buyers.</w:t>
      </w:r>
    </w:p>
    <w:p>
      <w:pPr>
        <w:spacing w:after="120"/>
      </w:pPr>
      <w:r>
        <w:t>This finding matters because a narrow review of only the June 15 market would miss a large category of wallets that may have benefited from the same disputed resolution theory across related markets. It also shows that the dispute may have affected more than a single isolated market.</w:t>
      </w:r>
    </w:p>
    <w:p>
      <w:pPr>
        <w:spacing w:after="120"/>
      </w:pPr>
      <w:r>
        <w:t>The ERC1155 transfer verification strategy shifted from broad block scanning to receipt based verification after RPC issues. The receipt based method used known Polymarket trade transaction hashes and decoded ERC1155 TransferSingle and TransferBatch events from those receipts. This created a more efficient and defensible method for showing token movement within known trade transactions. Approximately 2,320 incoming token movement rows were reported from this receipt based Step 9A process.</w:t>
      </w:r>
    </w:p>
    <w:p>
      <w:pPr>
        <w:spacing w:after="120"/>
      </w:pPr>
      <w:r>
        <w:t>Redemption analysis identified 36 wallets with redemption activity, 103 redemption activity rows, 84 redemption transaction receipts, 1,324 ERC1155 burn to zero logs, and ERC20 transfer logs involving selected wallets. Redemption evidence is important because it can show post resolution economic benefit, not merely pre resolution trading.</w:t>
      </w:r>
    </w:p>
    <w:p>
      <w:pPr>
        <w:pStyle w:val="Heading1"/>
      </w:pPr>
      <w:r>
        <w:t>9. Wallet link analysis and results</w:t>
      </w:r>
    </w:p>
    <w:p>
      <w:pPr>
        <w:spacing w:after="120"/>
      </w:pPr>
      <w:r>
        <w:t>The wallet link branch tested whether UMA addresses could be connected to Polymarket YES buyers, token holders, transfer wallets, or redeemers through simple direct methods.</w:t>
      </w:r>
    </w:p>
    <w:p>
      <w:pPr>
        <w:spacing w:after="120"/>
      </w:pPr>
      <w:r>
        <w:t>The current results are as follows.</w:t>
      </w:r>
    </w:p>
    <w:p>
      <w:pPr>
        <w:pStyle w:val="ListNumber"/>
        <w:spacing w:after="40"/>
      </w:pPr>
      <w:r>
        <w:t>Step 11A found no exact same address matches between UMA addresses and the Polymarket or Step 9B wallet universe.</w:t>
      </w:r>
    </w:p>
    <w:p>
      <w:pPr>
        <w:pStyle w:val="ListNumber"/>
        <w:spacing w:after="40"/>
      </w:pPr>
      <w:r>
        <w:t>Step 11B checked 108 UMA addresses against 2,563 prioritized Polymarket or Step 9B wallets and found zero direct UMA to priority Polymarket transfer links in the tested Polygon data.</w:t>
      </w:r>
    </w:p>
    <w:p>
      <w:pPr>
        <w:pStyle w:val="ListNumber"/>
        <w:spacing w:after="40"/>
      </w:pPr>
      <w:r>
        <w:t>Step 11C checked 108 UMA addresses and 36 high priority Polymarket wallets for common Polygon funders and found zero common funder addresses, zero common funder pair edges, zero priority leads, and zero failed queries.</w:t>
      </w:r>
    </w:p>
    <w:p>
      <w:pPr>
        <w:pStyle w:val="ListNumber"/>
        <w:spacing w:after="40"/>
      </w:pPr>
      <w:r>
        <w:t>Step 11E checked 107 YES buyer wallets and 101 UMA addresses. It reviewed 58,280 incoming transfer rows to YES buyer wallets and 7 incoming transfer rows to UMA addresses. It found zero direct UMA address to YES buyer funding edges, zero common funder addresses, zero common funder pair edges, zero priority funding leads, and zero failed queries.</w:t>
      </w:r>
    </w:p>
    <w:p>
      <w:pPr>
        <w:pStyle w:val="ListNumber"/>
        <w:spacing w:after="40"/>
      </w:pPr>
      <w:r>
        <w:t>Step 11D identified Polymarket side ERC1155 token path leads between certain direct target and future buyer or redeemer wallets and future only redeemer wallets. These are transaction level token movement leads inside the Polymarket side wallet universe. They should not be described as proof of common ownership without further evidence.</w:t>
      </w:r>
    </w:p>
    <w:p>
      <w:pPr>
        <w:spacing w:after="120"/>
      </w:pPr>
      <w:r>
        <w:t>The lawyer safe conclusion is that the investigation has not yet found a transaction supported direct or simple funding link between UMA YES voters and Polymarket YES buyers or redeemers in the tested datasets. This is not a concession that no relationship exists. It means the simple on chain branches tested so far did not identify a direct link. More complex relationships may involve intermediaries, bridges, exchanges, Safe owner structures, delegate authority, custody services, side agreements, or off chain coordination. Those issues are better suited for legal discovery and professional forensic review.</w:t>
      </w:r>
    </w:p>
    <w:p>
      <w:pPr>
        <w:pStyle w:val="Heading1"/>
      </w:pPr>
      <w:r>
        <w:t>10. ArmageddonRewardsBilly resolution process lead</w:t>
      </w:r>
    </w:p>
    <w:p>
      <w:pPr>
        <w:spacing w:after="120"/>
      </w:pPr>
      <w:r>
        <w:t xml:space="preserve">A separate and currently stronger lead concerns the Polymarket profile or wallet associated with ArmageddonRewardsBilly, referred to in the evidence packet as ARB. The wallet address is </w:t>
      </w:r>
      <w:r>
        <w:rPr>
          <w:rFonts w:ascii="Courier New" w:hAnsi="Courier New"/>
          <w:sz w:val="18"/>
        </w:rPr>
        <w:t>0xc8ab97a9089a9ff7e6ef0688e6e591a066946418</w:t>
      </w:r>
      <w:r>
        <w:t>.</w:t>
      </w:r>
    </w:p>
    <w:p>
      <w:pPr>
        <w:spacing w:after="120"/>
      </w:pPr>
      <w:r>
        <w:t>The ARB evidence should be framed as a serious resolution process and conflict of interest lead. It should not be overstated as final proof of fraud or as proof that UMA DVM voters and YES traders were the same people.</w:t>
      </w:r>
    </w:p>
    <w:p>
      <w:pPr>
        <w:spacing w:after="120"/>
      </w:pPr>
      <w:r>
        <w:t>The strongest ARB points currently preserved are as follows.</w:t>
      </w:r>
    </w:p>
    <w:p>
      <w:pPr>
        <w:pStyle w:val="ListNumber"/>
        <w:spacing w:after="40"/>
      </w:pPr>
      <w:r>
        <w:t>Exact market resolution transaction: transaction 0x4594120f7b93d7eadd56e53594f208a3fe3e7b83f715871e59742eac796e017e was reviewed. Its raw receipt showed a successful transaction routed to the ARB Safe. The receipt contained the target condition ID 0xd86a816093fcd0a0e1ca440bc5ce199bd3c5a8d6139e044b076958164f8c5423, the target question ID 0xb0bca505e898b79087fd5057f67c181f661d13ca1a5a091a3db0978a30de125b, and a Resolver event showing price 1e18, meaning YES.</w:t>
      </w:r>
    </w:p>
    <w:p>
      <w:pPr>
        <w:pStyle w:val="ListNumber"/>
        <w:spacing w:after="40"/>
      </w:pPr>
      <w:r>
        <w:t>Material YES position: prior activity files and submitted cluster trade material identify a 400,000 BUY YES transaction by ARB on the exact June 15 market. The transaction hash is 0x26e1b61200dacad0e83790468fae4b1fe4de25a7526e410a87298b592e6bcceb. The records show a purchase of 400,000 YES shares at a price of 0.999, with notional value of approximately USD 399,600.</w:t>
      </w:r>
    </w:p>
    <w:p>
      <w:pPr>
        <w:pStyle w:val="ListNumber"/>
        <w:spacing w:after="40"/>
      </w:pPr>
      <w:r>
        <w:t>Redemption and payout evidence: a known ARB redemption transaction, 0x4c315e0cd4d9c1e42a90801fa9bf4248a69314cb93aec880d96e5f3110d80eb0, showed target market redemption activity after the YES resolution. Incoming transfer records also identified a second large payout transaction, 0x4edcecea43e58319eb0bcf61546ed025b6aefd43de31459419fdc7114f6782c5, for approximately 200,328.309676 USDCE. The combined benefit lead is approximately USD 604,750.90, subject to final receipt level preservation and verification of the second payout.</w:t>
      </w:r>
    </w:p>
    <w:p>
      <w:pPr>
        <w:pStyle w:val="ListNumber"/>
        <w:spacing w:after="40"/>
      </w:pPr>
      <w:r>
        <w:t>Safe execution evidence: Safe Transaction Service API files and related screenshots were preserved to show transaction execution through the Safe. The evidence currently supports execution through the Safe. Signer identity, owner attribution, and beneficial control remain follow up issues.</w:t>
      </w:r>
    </w:p>
    <w:p>
      <w:pPr>
        <w:pStyle w:val="ListNumber"/>
        <w:spacing w:after="40"/>
      </w:pPr>
      <w:r>
        <w:t>Related market UMA proposal activity: two UMA related transactions involving the ARB Safe, the UMA bond contract, the Polymarket resolver, the YES_OR_NO_QUERY identifier, and proposed YES values were reviewed: 0x4e78e8c3c2108c832549d835f53e9b5c49405da9ddbb4e471b87f596dac199d8 and 0x1f9b73e61e15dc3777a839993087b687792d8eba25c713e163e550fc9bade067. These appear to relate to later physical signing markets dated June 19 and June 30, not exact June 15 permanent peace deal proposal proof. They should be used as related market pattern evidence unless counsel or technical experts verify a closer connection.</w:t>
      </w:r>
    </w:p>
    <w:p>
      <w:pPr>
        <w:spacing w:after="120"/>
      </w:pPr>
      <w:r>
        <w:t>This ARB evidence creates a strong counsel review question: whether a wallet with material YES exposure participated in or executed a resolution transaction for the exact market and then received post resolution proceeds. That question is central to conflict, process fairness, disclosure, platform responsibility, and discovery strategy.</w:t>
      </w:r>
    </w:p>
    <w:p>
      <w:pPr>
        <w:pStyle w:val="Heading1"/>
      </w:pPr>
      <w:r>
        <w:t>11. New targeted wallet findings from depth 4 and PolyAudit suspect profiler</w:t>
      </w:r>
    </w:p>
    <w:p>
      <w:pPr>
        <w:spacing w:after="120"/>
      </w:pPr>
      <w:r>
        <w:t>This section records new targeted forensic outputs generated after the earlier wallet-link tests. These outputs should be treated as investigative evidence and counsel-review leads. They materially strengthen the conflict-of-interest and shared-funding branches, but they do not by themselves prove fraud, collusion, or common beneficial ownership.</w:t>
      </w:r>
    </w:p>
    <w:p>
      <w:pPr>
        <w:pStyle w:val="Heading2"/>
      </w:pPr>
      <w:r>
        <w:t>11.1 Depth-4 Top UMA whale path test</w:t>
      </w:r>
    </w:p>
    <w:p>
      <w:pPr>
        <w:spacing w:after="120"/>
      </w:pPr>
      <w:r>
        <w:t xml:space="preserve">A focused depth-4 on-chain path test was run against the Top 12 UMA whale rows from </w:t>
      </w:r>
      <w:r>
        <w:rPr>
          <w:rFonts w:ascii="Courier New" w:hAnsi="Courier New"/>
          <w:sz w:val="18"/>
        </w:rPr>
        <w:t>Top_60_Whales.csv</w:t>
      </w:r>
      <w:r>
        <w:t>, using both staker and delegate / hot wallet target addresses. The run used focused seed mode and known priority Polymarket-side source wallets rather than scanning the full repository address universe.</w:t>
      </w:r>
    </w:p>
    <w:p>
      <w:pPr>
        <w:spacing w:after="120"/>
      </w:pPr>
      <w:r>
        <w:t>Key run metrics:</w:t>
      </w:r>
    </w:p>
    <w:p>
      <w:pPr>
        <w:pStyle w:val="ListNumber"/>
        <w:spacing w:after="40"/>
      </w:pPr>
      <w:r>
        <w:t>Top UMA whale target rows: 12.</w:t>
      </w:r>
    </w:p>
    <w:p>
      <w:pPr>
        <w:pStyle w:val="ListNumber"/>
        <w:spacing w:after="40"/>
      </w:pPr>
      <w:r>
        <w:t>UMA target addresses: 24.</w:t>
      </w:r>
    </w:p>
    <w:p>
      <w:pPr>
        <w:pStyle w:val="ListNumber"/>
        <w:spacing w:after="40"/>
      </w:pPr>
      <w:r>
        <w:t>Polymarket-side source addresses: 21.</w:t>
      </w:r>
    </w:p>
    <w:p>
      <w:pPr>
        <w:pStyle w:val="ListNumber"/>
        <w:spacing w:after="40"/>
      </w:pPr>
      <w:r>
        <w:t>Seed addresses: 45.</w:t>
      </w:r>
    </w:p>
    <w:p>
      <w:pPr>
        <w:pStyle w:val="ListNumber"/>
        <w:spacing w:after="40"/>
      </w:pPr>
      <w:r>
        <w:t>On-chain addresses visited: 500.</w:t>
      </w:r>
    </w:p>
    <w:p>
      <w:pPr>
        <w:pStyle w:val="ListNumber"/>
        <w:spacing w:after="40"/>
      </w:pPr>
      <w:r>
        <w:t>Path rows produced: 21.</w:t>
      </w:r>
    </w:p>
    <w:p>
      <w:pPr>
        <w:pStyle w:val="ListNumber"/>
        <w:spacing w:after="40"/>
      </w:pPr>
      <w:r>
        <w:t>Exact-overlap leads hidden: true.</w:t>
      </w:r>
    </w:p>
    <w:p>
      <w:pPr>
        <w:pStyle w:val="ListNumber"/>
        <w:spacing w:after="40"/>
      </w:pPr>
      <w:r>
        <w:t>Block window: Polygon blocks 84940782 through 88863337.</w:t>
      </w:r>
    </w:p>
    <w:p>
      <w:pPr>
        <w:spacing w:after="120"/>
      </w:pPr>
      <w:r>
        <w:t xml:space="preserve">The test is useful, but it does not currently prove a strong direct connection to the Top 12 UMA whale voters. Manual review of the 21 path rows indicates that most candidate paths pass through spam-token or generic-contract edges, especially address </w:t>
      </w:r>
      <w:r>
        <w:rPr>
          <w:rFonts w:ascii="Courier New" w:hAnsi="Courier New"/>
          <w:sz w:val="18"/>
        </w:rPr>
        <w:t>0x6f8a06447ff6fcf75d803135a7de15ce88c1d4ec</w:t>
      </w:r>
      <w:r>
        <w:t xml:space="preserve"> and the Polygon USDC contract </w:t>
      </w:r>
      <w:r>
        <w:rPr>
          <w:rFonts w:ascii="Courier New" w:hAnsi="Courier New"/>
          <w:sz w:val="18"/>
        </w:rPr>
        <w:t>0x3c499c542cef5e3811e1192ce70d8cc03d5c3359</w:t>
      </w:r>
      <w:r>
        <w:t>. These paths should not be treated as evidence of ownership, coordination, or funding unless independently supported by meaningful transfers, timing, or non-generic intermediary behavior.</w:t>
      </w:r>
    </w:p>
    <w:p>
      <w:pPr>
        <w:spacing w:after="120"/>
      </w:pPr>
      <w:r>
        <w:t>The lawyer-safe conclusion is that the Top 12 UMA whale path test did not establish a strong Top UMA whale connection. It did, however, provide useful filtering and helped redirect the investigation toward more promising suspect-specific leads involving known Polymarket / UMA actors, shared funders, and proposer wallets.</w:t>
      </w:r>
    </w:p>
    <w:p>
      <w:pPr>
        <w:pStyle w:val="Heading2"/>
      </w:pPr>
      <w:r>
        <w:t>11.2 ARB and tf2 direct relationship</w:t>
      </w:r>
    </w:p>
    <w:p>
      <w:pPr>
        <w:spacing w:after="120"/>
      </w:pPr>
      <w:r>
        <w:t>The suspect profiler identified repeated direct transfers between the ARB wallet and the tf2 wallet:</w:t>
      </w:r>
    </w:p>
    <w:p>
      <w:pPr>
        <w:pStyle w:val="ListNumber"/>
        <w:spacing w:after="40"/>
      </w:pPr>
      <w:r>
        <w:t>ARB / ArmageddonRewardsBilly: 0xc8ab97a9089a9ff7e6ef0688e6e591a066946418.</w:t>
      </w:r>
    </w:p>
    <w:p>
      <w:pPr>
        <w:pStyle w:val="ListNumber"/>
        <w:spacing w:after="40"/>
      </w:pPr>
      <w:r>
        <w:t>tf2: 0xa102b434ce441a3119e146f75ed6276ee1a836d9.</w:t>
      </w:r>
    </w:p>
    <w:p>
      <w:pPr>
        <w:spacing w:after="120"/>
      </w:pPr>
      <w:r>
        <w:t xml:space="preserve">The direct relation file contains </w:t>
      </w:r>
      <w:r>
        <w:rPr>
          <w:rFonts w:ascii="Courier New" w:hAnsi="Courier New"/>
          <w:sz w:val="18"/>
        </w:rPr>
        <w:t>11</w:t>
      </w:r>
      <w:r>
        <w:t xml:space="preserve"> transfer rows between these wallets. The meaningful transfers include:</w:t>
      </w:r>
    </w:p>
    <w:p>
      <w:pPr>
        <w:pStyle w:val="ListNumber"/>
        <w:spacing w:after="40"/>
      </w:pPr>
      <w:r>
        <w:t>tf2 to ARB: 100,000 USDC.e.</w:t>
      </w:r>
    </w:p>
    <w:p>
      <w:pPr>
        <w:pStyle w:val="ListNumber"/>
        <w:spacing w:after="40"/>
      </w:pPr>
      <w:r>
        <w:t>tf2 to ARB: 200,000 pUSD total.</w:t>
      </w:r>
    </w:p>
    <w:p>
      <w:pPr>
        <w:pStyle w:val="ListNumber"/>
        <w:spacing w:after="40"/>
      </w:pPr>
      <w:r>
        <w:t>ARB to tf2: approximately 280,571 pUSD total.</w:t>
      </w:r>
    </w:p>
    <w:p>
      <w:pPr>
        <w:pStyle w:val="ListNumber"/>
        <w:spacing w:after="40"/>
      </w:pPr>
      <w:r>
        <w:t>Multiple CTF / ERC1155 position-transfer rows in both directions.</w:t>
      </w:r>
    </w:p>
    <w:p>
      <w:pPr>
        <w:spacing w:after="120"/>
      </w:pPr>
      <w:r>
        <w:t>This is a strong investigative lead because both wallets are independently relevant to the Polymarket / UMA conflict analysis. ARB is already a key resolution-process lead. tf2 appears in the investigation as a Polymarket trader with prior UMA oracle activity. The direct ARB to tf2 relationship should be reviewed transaction by transaction and the CTF / ERC1155 token IDs should be mapped to specific Polymarket condition IDs.</w:t>
      </w:r>
    </w:p>
    <w:p>
      <w:pPr>
        <w:spacing w:after="120"/>
      </w:pPr>
      <w:r>
        <w:t>Careful wording: the current record supports a direct on-chain relationship between ARB and tf2. It does not yet prove common ownership, agreement, or collusion.</w:t>
      </w:r>
    </w:p>
    <w:p>
      <w:pPr>
        <w:pStyle w:val="Heading2"/>
      </w:pPr>
      <w:r>
        <w:t>11.3 Shared funding network around `0xc417fd...`</w:t>
      </w:r>
    </w:p>
    <w:p>
      <w:pPr>
        <w:spacing w:after="120"/>
      </w:pPr>
      <w:r>
        <w:t xml:space="preserve">The suspect profiler identified address </w:t>
      </w:r>
      <w:r>
        <w:rPr>
          <w:rFonts w:ascii="Courier New" w:hAnsi="Courier New"/>
          <w:sz w:val="18"/>
        </w:rPr>
        <w:t>0xc417fd8e9661c0d2120b64a04bb3278c17e99db1</w:t>
      </w:r>
      <w:r>
        <w:t xml:space="preserve"> as a substantial USDC.e funding source for multiple known YES-side or investigation-relevant wallets.</w:t>
      </w:r>
    </w:p>
    <w:p>
      <w:pPr>
        <w:spacing w:after="120"/>
      </w:pPr>
      <w:r>
        <w:t>Aggregated examples include:</w:t>
      </w:r>
    </w:p>
    <w:p>
      <w:pPr>
        <w:pStyle w:val="ListNumber"/>
        <w:spacing w:after="40"/>
      </w:pPr>
      <w:r>
        <w:t>Shirtybonds: approximately 6.05 million USDC.e.</w:t>
      </w:r>
    </w:p>
    <w:p>
      <w:pPr>
        <w:pStyle w:val="ListNumber"/>
        <w:spacing w:after="40"/>
      </w:pPr>
      <w:r>
        <w:t>RockSolidBond: approximately 3.50 million USDC.e.</w:t>
      </w:r>
    </w:p>
    <w:p>
      <w:pPr>
        <w:pStyle w:val="ListNumber"/>
        <w:spacing w:after="40"/>
      </w:pPr>
      <w:r>
        <w:t>secretscent: approximately 2.48 million USDC.e.</w:t>
      </w:r>
    </w:p>
    <w:p>
      <w:pPr>
        <w:pStyle w:val="ListNumber"/>
        <w:spacing w:after="40"/>
      </w:pPr>
      <w:r>
        <w:t>GroyperFinance: approximately 1.21 million USDC.e.</w:t>
      </w:r>
    </w:p>
    <w:p>
      <w:pPr>
        <w:pStyle w:val="ListNumber"/>
        <w:spacing w:after="40"/>
      </w:pPr>
      <w:r>
        <w:t>Anghkooey: approximately 432 thousand USDC.e.</w:t>
      </w:r>
    </w:p>
    <w:p>
      <w:pPr>
        <w:pStyle w:val="ListNumber"/>
        <w:spacing w:after="40"/>
      </w:pPr>
      <w:r>
        <w:t>0x52e5...: approximately 276.7 thousand USDC.e.</w:t>
      </w:r>
    </w:p>
    <w:p>
      <w:pPr>
        <w:pStyle w:val="ListNumber"/>
        <w:spacing w:after="40"/>
      </w:pPr>
      <w:r>
        <w:t>tf2: approximately 103.4 thousand USDC.e.</w:t>
      </w:r>
    </w:p>
    <w:p>
      <w:pPr>
        <w:pStyle w:val="ListNumber"/>
        <w:spacing w:after="40"/>
      </w:pPr>
      <w:r>
        <w:t>Dripx: approximately 60 thousand USDC.e.</w:t>
      </w:r>
    </w:p>
    <w:p>
      <w:pPr>
        <w:spacing w:after="120"/>
      </w:pPr>
      <w:r>
        <w:t>This is a strong shared-funding lead. It may support an inference that multiple apparently separate YES-side or suspect wallets were financed by the same source. The next step is to compare the funding timestamps against each recipient's Polymarket YES purchases and redemptions.</w:t>
      </w:r>
    </w:p>
    <w:p>
      <w:pPr>
        <w:spacing w:after="120"/>
      </w:pPr>
      <w:r>
        <w:t>Careful wording: this is funding-cluster evidence. It does not by itself prove common beneficial ownership or an unlawful agreement, but it strongly supports discovery into wallet control, funding purpose, trading strategy, and account attribution.</w:t>
      </w:r>
    </w:p>
    <w:p>
      <w:pPr>
        <w:pStyle w:val="Heading2"/>
      </w:pPr>
      <w:r>
        <w:t>11.4 GroyperFinance conflict lead</w:t>
      </w:r>
    </w:p>
    <w:p>
      <w:pPr>
        <w:spacing w:after="120"/>
      </w:pPr>
      <w:r>
        <w:t>The GroyperFinance profile output shows both shared funding and UMA oracle infrastructure interaction.</w:t>
      </w:r>
    </w:p>
    <w:p>
      <w:pPr>
        <w:spacing w:after="120"/>
      </w:pPr>
      <w:r>
        <w:t>Key findings include:</w:t>
      </w:r>
    </w:p>
    <w:p>
      <w:pPr>
        <w:pStyle w:val="ListNumber"/>
        <w:spacing w:after="40"/>
      </w:pPr>
      <w:r>
        <w:t>0xc417fd... to GroyperFinance: approximately 1.205 million USDC.e.</w:t>
      </w:r>
    </w:p>
    <w:p>
      <w:pPr>
        <w:pStyle w:val="ListNumber"/>
        <w:spacing w:after="40"/>
      </w:pPr>
      <w:r>
        <w:t>GroyperFinance to UMA bond contract: approximately 4,500 USDC.e.</w:t>
      </w:r>
    </w:p>
    <w:p>
      <w:pPr>
        <w:pStyle w:val="ListNumber"/>
        <w:spacing w:after="40"/>
      </w:pPr>
      <w:r>
        <w:t>UMA bond contract to GroyperFinance: approximately 4,000 USDC.e.</w:t>
      </w:r>
    </w:p>
    <w:p>
      <w:pPr>
        <w:pStyle w:val="ListNumber"/>
        <w:spacing w:after="40"/>
      </w:pPr>
      <w:r>
        <w:t>GroyperFinance to UMA OOv2: approximately 750 USDC.e.</w:t>
      </w:r>
    </w:p>
    <w:p>
      <w:pPr>
        <w:pStyle w:val="ListNumber"/>
        <w:spacing w:after="40"/>
      </w:pPr>
      <w:r>
        <w:t>UMA OOv2 to GroyperFinance: approximately 1,000 USDC.e.</w:t>
      </w:r>
    </w:p>
    <w:p>
      <w:pPr>
        <w:spacing w:after="120"/>
      </w:pPr>
      <w:r>
        <w:t>This makes GroyperFinance an important conflict lead because the wallet appears financially linked to the shared funding network and separately active around UMA oracle / bond infrastructure. Counsel should review whether the relevant transactions represent UMA proposal activity, rewards, bonds, or other oracle-related operations.</w:t>
      </w:r>
    </w:p>
    <w:p>
      <w:pPr>
        <w:spacing w:after="120"/>
      </w:pPr>
      <w:r>
        <w:t xml:space="preserve">Careful wording: GroyperFinance appears transaction-linked to UMA oracle infrastructure and to the </w:t>
      </w:r>
      <w:r>
        <w:rPr>
          <w:rFonts w:ascii="Courier New" w:hAnsi="Courier New"/>
          <w:sz w:val="18"/>
        </w:rPr>
        <w:t>0xc417fd...</w:t>
      </w:r>
      <w:r>
        <w:t xml:space="preserve"> funding network. The exact legal significance depends on transaction receipts, market mapping, timing, and wallet attribution.</w:t>
      </w:r>
    </w:p>
    <w:p>
      <w:pPr>
        <w:pStyle w:val="Heading2"/>
      </w:pPr>
      <w:r>
        <w:t>11.5 secretscent, RockSolidBond, intermediaries, and UMA proposer `0xc337...`</w:t>
      </w:r>
    </w:p>
    <w:p>
      <w:pPr>
        <w:spacing w:after="120"/>
      </w:pPr>
      <w:r>
        <w:t xml:space="preserve">The secretscent / RockSolidBond profile output is significant. It shows large flows among secretscent, RockSolidBond, the shared funder </w:t>
      </w:r>
      <w:r>
        <w:rPr>
          <w:rFonts w:ascii="Courier New" w:hAnsi="Courier New"/>
          <w:sz w:val="18"/>
        </w:rPr>
        <w:t>0xc417fd...</w:t>
      </w:r>
      <w:r>
        <w:t xml:space="preserve">, reported intermediaries, and UMA proposer lead </w:t>
      </w:r>
      <w:r>
        <w:rPr>
          <w:rFonts w:ascii="Courier New" w:hAnsi="Courier New"/>
          <w:sz w:val="18"/>
        </w:rPr>
        <w:t>0xc33780d8841dd80fe3de83bff881218372c3d42c</w:t>
      </w:r>
      <w:r>
        <w:t>.</w:t>
      </w:r>
    </w:p>
    <w:p>
      <w:pPr>
        <w:spacing w:after="120"/>
      </w:pPr>
      <w:r>
        <w:t>Aggregated examples include:</w:t>
      </w:r>
    </w:p>
    <w:p>
      <w:pPr>
        <w:pStyle w:val="ListNumber"/>
        <w:spacing w:after="40"/>
      </w:pPr>
      <w:r>
        <w:t>0xc417fd... to secretscent: approximately 2.476 million USDC.e.</w:t>
      </w:r>
    </w:p>
    <w:p>
      <w:pPr>
        <w:pStyle w:val="ListNumber"/>
        <w:spacing w:after="40"/>
      </w:pPr>
      <w:r>
        <w:t>0xc417fd... to RockSolidBond: approximately 3.495 million USDC.e.</w:t>
      </w:r>
    </w:p>
    <w:p>
      <w:pPr>
        <w:pStyle w:val="ListNumber"/>
        <w:spacing w:after="40"/>
      </w:pPr>
      <w:r>
        <w:t>secretscent to RockSolidBond: approximately 4.950 million USDC.e.</w:t>
      </w:r>
    </w:p>
    <w:p>
      <w:pPr>
        <w:pStyle w:val="ListNumber"/>
        <w:spacing w:after="40"/>
      </w:pPr>
      <w:r>
        <w:t>0xc417fd... to intermediary 0x245b...: approximately 2.455 million USDC.e.</w:t>
      </w:r>
    </w:p>
    <w:p>
      <w:pPr>
        <w:pStyle w:val="ListNumber"/>
        <w:spacing w:after="40"/>
      </w:pPr>
      <w:r>
        <w:t>0xc417fd... to intermediary 0xa4fc...: approximately 1.314 million USDC.e.</w:t>
      </w:r>
    </w:p>
    <w:p>
      <w:pPr>
        <w:pStyle w:val="ListNumber"/>
        <w:spacing w:after="40"/>
      </w:pPr>
      <w:r>
        <w:t>intermediary 0x245b... to UMA proposer 0xc337...: approximately 436,448 USDC.e.</w:t>
      </w:r>
    </w:p>
    <w:p>
      <w:pPr>
        <w:pStyle w:val="ListNumber"/>
        <w:spacing w:after="40"/>
      </w:pPr>
      <w:r>
        <w:t>UMA proposer 0xc337... back to intermediary 0x245b...: approximately 221,232 USDC.e.</w:t>
      </w:r>
    </w:p>
    <w:p>
      <w:pPr>
        <w:pStyle w:val="ListNumber"/>
        <w:spacing w:after="40"/>
      </w:pPr>
      <w:r>
        <w:t>intermediary 0xa4fc... to UMA proposer 0xc337...: approximately 106,500 USDC.e.</w:t>
      </w:r>
    </w:p>
    <w:p>
      <w:pPr>
        <w:pStyle w:val="ListNumber"/>
        <w:spacing w:after="40"/>
      </w:pPr>
      <w:r>
        <w:t>UMA proposer 0xc337... back to intermediary 0xa4fc...: approximately 53,362 USDC.e.</w:t>
      </w:r>
    </w:p>
    <w:p>
      <w:pPr>
        <w:spacing w:after="120"/>
      </w:pPr>
      <w:r>
        <w:t>This is a strong to moderate conflict and funding-network lead. It is stronger than the Top 12 UMA whale path theory because it concerns a known UMA proposer lead rather than generic Top UMA voting wallets.</w:t>
      </w:r>
    </w:p>
    <w:p>
      <w:pPr>
        <w:spacing w:after="120"/>
      </w:pPr>
      <w:r>
        <w:t xml:space="preserve">Careful wording: the current record supports meaningful financial pathways among secretscent, RockSolidBond, intermediary wallets, the shared funder, and UMA proposer </w:t>
      </w:r>
      <w:r>
        <w:rPr>
          <w:rFonts w:ascii="Courier New" w:hAnsi="Courier New"/>
          <w:sz w:val="18"/>
        </w:rPr>
        <w:t>0xc337...</w:t>
      </w:r>
      <w:r>
        <w:t>. It does not yet prove common ownership or intent. It does justify transaction-level review, market-timing comparison, and discovery.</w:t>
      </w:r>
    </w:p>
    <w:p>
      <w:pPr>
        <w:pStyle w:val="Heading2"/>
      </w:pPr>
      <w:r>
        <w:t>11.6 `0xacff32...` infrastructure / activator lead</w:t>
      </w:r>
    </w:p>
    <w:p>
      <w:pPr>
        <w:spacing w:after="120"/>
      </w:pPr>
      <w:r>
        <w:t xml:space="preserve">The address </w:t>
      </w:r>
      <w:r>
        <w:rPr>
          <w:rFonts w:ascii="Courier New" w:hAnsi="Courier New"/>
          <w:sz w:val="18"/>
        </w:rPr>
        <w:t>0xacff32f36054e039003c7925f7834360531f1f9a</w:t>
      </w:r>
      <w:r>
        <w:t xml:space="preserve"> appears repeatedly around multiple relevant wallets, including ARB, debased, HolyMoses7, RockSolidBond, yungstalin, JAHODA, </w:t>
      </w:r>
      <w:r>
        <w:rPr>
          <w:rFonts w:ascii="Courier New" w:hAnsi="Courier New"/>
          <w:sz w:val="18"/>
        </w:rPr>
        <w:t>0x665d...</w:t>
      </w:r>
      <w:r>
        <w:t>, secretscent, and GroyperFinance.</w:t>
      </w:r>
    </w:p>
    <w:p>
      <w:pPr>
        <w:spacing w:after="120"/>
      </w:pPr>
      <w:r>
        <w:t>This remains a moderate lead, not a strong funding lead. Many rows are zero-value native MATIC calls, which may indicate activation, relayer, infrastructure, contract-call, or bot behavior rather than capital funding. The address should be reviewed for wallet-creation timing, proxy or Safe setup behavior, recurring contract-call patterns, and any non-zero asset transfers.</w:t>
      </w:r>
    </w:p>
    <w:p>
      <w:pPr>
        <w:spacing w:after="120"/>
      </w:pPr>
      <w:r>
        <w:t xml:space="preserve">Careful wording: </w:t>
      </w:r>
      <w:r>
        <w:rPr>
          <w:rFonts w:ascii="Courier New" w:hAnsi="Courier New"/>
          <w:sz w:val="18"/>
        </w:rPr>
        <w:t>0xacff32...</w:t>
      </w:r>
      <w:r>
        <w:t xml:space="preserve"> is a possible infrastructure or activator wallet. It should not currently be described as a confirmed funder.</w:t>
      </w:r>
    </w:p>
    <w:p>
      <w:pPr>
        <w:pStyle w:val="Heading2"/>
      </w:pPr>
      <w:r>
        <w:t>11.7 Legal significance of the new findings</w:t>
      </w:r>
    </w:p>
    <w:p>
      <w:pPr>
        <w:spacing w:after="120"/>
      </w:pPr>
      <w:r>
        <w:t>The new findings strengthen the process-integrity and conflict-of-interest branches. They point toward the following legal issues for counsel to evaluate:</w:t>
      </w:r>
    </w:p>
    <w:p>
      <w:pPr>
        <w:pStyle w:val="ListNumber"/>
        <w:spacing w:after="40"/>
      </w:pPr>
      <w:r>
        <w:t>Whether a financially interested wallet participated in, finalized, or benefited from the resolution process.</w:t>
      </w:r>
    </w:p>
    <w:p>
      <w:pPr>
        <w:pStyle w:val="ListNumber"/>
        <w:spacing w:after="40"/>
      </w:pPr>
      <w:r>
        <w:t>Whether wallets with market exposure were connected to UMA oracle participants or proposer infrastructure.</w:t>
      </w:r>
    </w:p>
    <w:p>
      <w:pPr>
        <w:pStyle w:val="ListNumber"/>
        <w:spacing w:after="40"/>
      </w:pPr>
      <w:r>
        <w:t>Whether multiple YES-side wallets were funded by a common source.</w:t>
      </w:r>
    </w:p>
    <w:p>
      <w:pPr>
        <w:pStyle w:val="ListNumber"/>
        <w:spacing w:after="40"/>
      </w:pPr>
      <w:r>
        <w:t>Whether the Polymarket / UMA resolution mechanism allowed conflicted actors to affect a high-value market outcome.</w:t>
      </w:r>
    </w:p>
    <w:p>
      <w:pPr>
        <w:pStyle w:val="ListNumber"/>
        <w:spacing w:after="40"/>
      </w:pPr>
      <w:r>
        <w:t>Whether NO holders were deprived of the payout they would have received under the written market criteria.</w:t>
      </w:r>
    </w:p>
    <w:p>
      <w:pPr>
        <w:pStyle w:val="ListNumber"/>
        <w:spacing w:after="40"/>
      </w:pPr>
      <w:r>
        <w:t>Whether discovery should seek account metadata, Safe signer records, IP logs, device fingerprints, exchange withdrawal records, API keys, and internal Polymarket / UMA communications.</w:t>
      </w:r>
    </w:p>
    <w:p>
      <w:pPr>
        <w:spacing w:after="120"/>
      </w:pPr>
      <w:r>
        <w:t>The strongest legal framing remains that this is a rule-based and process-based case. The new wallet evidence supports the argument that the disputed YES outcome may have arisen through a resolution process involving financially interested and interconnected actors. It should be presented as conflict and discovery evidence, not as final proof of fraud.</w:t>
      </w:r>
    </w:p>
    <w:p>
      <w:pPr>
        <w:pStyle w:val="Heading1"/>
      </w:pPr>
      <w:r>
        <w:t>12. Loss analysis and claimant identification</w:t>
      </w:r>
    </w:p>
    <w:p>
      <w:pPr>
        <w:spacing w:after="120"/>
      </w:pPr>
      <w:r>
        <w:t>Two damages analysis files were added to the evidence register under the LOSS series.</w:t>
      </w:r>
    </w:p>
    <w:p>
      <w:pPr>
        <w:spacing w:after="120"/>
      </w:pPr>
      <w:r>
        <w:t xml:space="preserve">LOSS 001 is </w:t>
      </w:r>
      <w:r>
        <w:rPr>
          <w:rFonts w:ascii="Courier New" w:hAnsi="Courier New"/>
          <w:sz w:val="18"/>
        </w:rPr>
        <w:t>polymarket_no_holder_losses_by_date.csv</w:t>
      </w:r>
      <w:r>
        <w:t xml:space="preserve">. It summarizes aggregate NO holder losses across six related US x Iran permanent peace deal markets. The total NO position loss shown across the file is approximately USD 87.37 million, including approximately USD 68.28 million attributed to the June 15 market. Its SHA 256 hash is </w:t>
      </w:r>
      <w:r>
        <w:rPr>
          <w:rFonts w:ascii="Courier New" w:hAnsi="Courier New"/>
          <w:sz w:val="18"/>
        </w:rPr>
        <w:t>ab80777b9148c656bc2d66360b8d24c0a6cdc337f8dc2720735d117c66e26cee</w:t>
      </w:r>
      <w:r>
        <w:t>.</w:t>
      </w:r>
    </w:p>
    <w:p>
      <w:pPr>
        <w:spacing w:after="120"/>
      </w:pPr>
      <w:r>
        <w:t xml:space="preserve">LOSS 002 is </w:t>
      </w:r>
      <w:r>
        <w:rPr>
          <w:rFonts w:ascii="Courier New" w:hAnsi="Courier New"/>
          <w:sz w:val="18"/>
        </w:rPr>
        <w:t>polymarket_no_holder_losses_wallet_details.csv</w:t>
      </w:r>
      <w:r>
        <w:t xml:space="preserve">. It provides wallet level detail for the same loss analysis. It includes 10,570 rows and 8,214 unique proxy wallets. It supports claimant identification, wallet level damages review, and distribution analysis. Its total loss amount matches the market level summary in LOSS 001. Its SHA 256 hash is </w:t>
      </w:r>
      <w:r>
        <w:rPr>
          <w:rFonts w:ascii="Courier New" w:hAnsi="Courier New"/>
          <w:sz w:val="18"/>
        </w:rPr>
        <w:t>9fa3f8971dcd21fa6bd7359f638be4f5a55b77fae57bd9ed4bd6641750ec3712</w:t>
      </w:r>
      <w:r>
        <w:t>.</w:t>
      </w:r>
    </w:p>
    <w:p>
      <w:pPr>
        <w:spacing w:after="120"/>
      </w:pPr>
      <w:r>
        <w:t>Both files should be treated as high relevance derived analysis. They should not be treated as final claimant proof until each claimant is matched to wallet ownership, transaction history, position records, deposits, withdrawals, and any platform account identifiers available through lawful means.</w:t>
      </w:r>
    </w:p>
    <w:p>
      <w:pPr>
        <w:pStyle w:val="Heading1"/>
      </w:pPr>
      <w:r>
        <w:t>13. Current strongest evidence map</w:t>
      </w:r>
    </w:p>
    <w:p>
      <w:pPr>
        <w:spacing w:after="120"/>
      </w:pPr>
      <w:r>
        <w:t>The strongest evidence for immediate counsel review is summarized below.</w:t>
      </w:r>
    </w:p>
    <w:p>
      <w:pPr>
        <w:spacing w:after="120"/>
      </w:pPr>
      <w:r>
        <w:t>Strong lead 1: written rules versus YES resolution. The group alleges that the written rule condition required a permanent peace deal by 15 June 2026 at 11:59 PM Eastern Time and that the public record did not satisfy that requirement. This is the central merits question.</w:t>
      </w:r>
    </w:p>
    <w:p>
      <w:pPr>
        <w:spacing w:after="120"/>
      </w:pPr>
      <w:r>
        <w:t>Strong lead 2: market identity chain. The investigation has preserved or identified the market title, question ID, condition ID, token IDs, UMA round 10310, price identifier YES_OR_NO_QUERY, ancillary hash, Polygon resolution record, and Ethereum UMA vote records.</w:t>
      </w:r>
    </w:p>
    <w:p>
      <w:pPr>
        <w:spacing w:after="120"/>
      </w:pPr>
      <w:r>
        <w:t>Strong lead 3: concentrated YES outcome in UMA. The UMA evidence shows substantial YES voting power in the relevant voting round. Counsel should examine whether the process, incentives, disclosures, dispute timing, and voting power concentration support claims or equitable relief.</w:t>
      </w:r>
    </w:p>
    <w:p>
      <w:pPr>
        <w:spacing w:after="120"/>
      </w:pPr>
      <w:r>
        <w:t>Strong lead 4: ARB conflict and resolution process. The ARB Safe appears to have both material YES exposure and a role in the exact market’s YES resolution transaction, followed by redemption or payout activity. This is the most important actor specific lead currently identified.</w:t>
      </w:r>
    </w:p>
    <w:p>
      <w:pPr>
        <w:spacing w:after="120"/>
      </w:pPr>
      <w:r>
        <w:t>Strong lead 5: post resolution benefit evidence. Redemption records, ERC1155 burn logs, ERC20 transfer logs, and ARB payout evidence support analysis of who economically benefited from the disputed YES resolution.</w:t>
      </w:r>
    </w:p>
    <w:p>
      <w:pPr>
        <w:spacing w:after="120"/>
      </w:pPr>
      <w:r>
        <w:t xml:space="preserve">Strong lead 6: shared funding and suspect-network evidence. New suspect-profiler outputs identify </w:t>
      </w:r>
      <w:r>
        <w:rPr>
          <w:rFonts w:ascii="Courier New" w:hAnsi="Courier New"/>
          <w:sz w:val="18"/>
        </w:rPr>
        <w:t>0xc417fd...</w:t>
      </w:r>
      <w:r>
        <w:t xml:space="preserve"> as a substantial USDC.e funding source for multiple known YES-side or investigation-relevant wallets, repeated direct ARB to tf2 transfers, GroyperFinance funding plus UMA oracle infrastructure interaction, and secretscent / RockSolidBond / intermediary flows involving UMA proposer lead </w:t>
      </w:r>
      <w:r>
        <w:rPr>
          <w:rFonts w:ascii="Courier New" w:hAnsi="Courier New"/>
          <w:sz w:val="18"/>
        </w:rPr>
        <w:t>0xc337...</w:t>
      </w:r>
      <w:r>
        <w:t>.</w:t>
      </w:r>
    </w:p>
    <w:p>
      <w:pPr>
        <w:spacing w:after="120"/>
      </w:pPr>
      <w:r>
        <w:t>Strong lead 7: damages scale. Derived loss analysis identifies approximately USD 87.37 million in NO holder losses across six related markets, with approximately USD 68.28 million attributed to the June 15 market. These figures support the seriousness and potential class scale of the dispute, subject to validation.</w:t>
      </w:r>
    </w:p>
    <w:p>
      <w:pPr>
        <w:pStyle w:val="Heading1"/>
      </w:pPr>
      <w:r>
        <w:t>14. Issues requiring counsel or expert review</w:t>
      </w:r>
    </w:p>
    <w:p>
      <w:pPr>
        <w:spacing w:after="120"/>
      </w:pPr>
      <w:r>
        <w:t>Counsel should prioritize the following questions.</w:t>
      </w:r>
    </w:p>
    <w:p>
      <w:pPr>
        <w:pStyle w:val="ListNumber"/>
        <w:spacing w:after="40"/>
      </w:pPr>
      <w:r>
        <w:t>Was the written YES condition met by 11:59 PM Eastern Time on 15 June 2026?</w:t>
      </w:r>
    </w:p>
    <w:p>
      <w:pPr>
        <w:pStyle w:val="ListNumber"/>
        <w:spacing w:after="40"/>
      </w:pPr>
      <w:r>
        <w:t>Which exact Polymarket rule documents, market page versions, clarifications, and terms governed the market at the time users traded?</w:t>
      </w:r>
    </w:p>
    <w:p>
      <w:pPr>
        <w:pStyle w:val="ListNumber"/>
        <w:spacing w:after="40"/>
      </w:pPr>
      <w:r>
        <w:t>What was the precise path from market outcome to UMA question, UMA vote, Polygon resolution, and final payout?</w:t>
      </w:r>
    </w:p>
    <w:p>
      <w:pPr>
        <w:pStyle w:val="ListNumber"/>
        <w:spacing w:after="40"/>
      </w:pPr>
      <w:r>
        <w:t>Who proposed, disputed, voted, relayed, signed, or executed the resolution transactions?</w:t>
      </w:r>
    </w:p>
    <w:p>
      <w:pPr>
        <w:pStyle w:val="ListNumber"/>
        <w:spacing w:after="40"/>
      </w:pPr>
      <w:r>
        <w:t>Who controlled or benefited from the ARB Safe and any related cluster wallets?</w:t>
      </w:r>
    </w:p>
    <w:p>
      <w:pPr>
        <w:pStyle w:val="ListNumber"/>
        <w:spacing w:after="40"/>
      </w:pPr>
      <w:r>
        <w:t>Did any person or entity involved in resolution have a financial interest in the YES outcome?</w:t>
      </w:r>
    </w:p>
    <w:p>
      <w:pPr>
        <w:pStyle w:val="ListNumber"/>
        <w:spacing w:after="40"/>
      </w:pPr>
      <w:r>
        <w:t>What information did Polymarket, UMA, resolvers, proposers, voters, delegates, market makers, or large traders have before, during, and after the resolution window?</w:t>
      </w:r>
    </w:p>
    <w:p>
      <w:pPr>
        <w:pStyle w:val="ListNumber"/>
        <w:spacing w:after="40"/>
      </w:pPr>
      <w:r>
        <w:t>Were disclosures, conflicts, incentives, rules, or appeal mechanisms adequate under applicable law and platform terms?</w:t>
      </w:r>
    </w:p>
    <w:p>
      <w:pPr>
        <w:pStyle w:val="ListNumber"/>
        <w:spacing w:after="40"/>
      </w:pPr>
      <w:r>
        <w:t>What primary records are needed to convert derived damages analysis into claimant specific proof?</w:t>
      </w:r>
    </w:p>
    <w:p>
      <w:pPr>
        <w:pStyle w:val="ListNumber"/>
        <w:spacing w:after="40"/>
      </w:pPr>
      <w:r>
        <w:t>What claims, venues, arbitration issues, class mechanisms, or group action strategies are available?</w:t>
      </w:r>
    </w:p>
    <w:p>
      <w:pPr>
        <w:pStyle w:val="Heading1"/>
      </w:pPr>
      <w:r>
        <w:t>15. Recommended first package for counsel</w:t>
      </w:r>
    </w:p>
    <w:p>
      <w:pPr>
        <w:spacing w:after="120"/>
      </w:pPr>
      <w:r>
        <w:t>The first law firm package should include the following materials.</w:t>
      </w:r>
    </w:p>
    <w:p>
      <w:pPr>
        <w:pStyle w:val="ListNumber"/>
        <w:spacing w:after="40"/>
      </w:pPr>
      <w:r>
        <w:t>This Read Me.</w:t>
      </w:r>
    </w:p>
    <w:p>
      <w:pPr>
        <w:pStyle w:val="ListNumber"/>
        <w:spacing w:after="40"/>
      </w:pPr>
      <w:r>
        <w:t>The evidence register with current IDs, descriptions, source fields, verification status, related IDs, hash values, and confidentiality labels.</w:t>
      </w:r>
    </w:p>
    <w:p>
      <w:pPr>
        <w:pStyle w:val="ListNumber"/>
        <w:spacing w:after="40"/>
      </w:pPr>
      <w:r>
        <w:t>Market rule exhibits, including the full market title, rules, deadline, clarifications, screenshots, and archived market metadata.</w:t>
      </w:r>
    </w:p>
    <w:p>
      <w:pPr>
        <w:pStyle w:val="ListNumber"/>
        <w:spacing w:after="40"/>
      </w:pPr>
      <w:r>
        <w:t>Public source timeline concerning events before the 15 June 2026 deadline.</w:t>
      </w:r>
    </w:p>
    <w:p>
      <w:pPr>
        <w:pStyle w:val="ListNumber"/>
        <w:spacing w:after="40"/>
      </w:pPr>
      <w:r>
        <w:t>Market identity package linking Polymarket metadata, question ID, condition ID, token IDs, Polygon resolution records, and UMA round 10310.</w:t>
      </w:r>
    </w:p>
    <w:p>
      <w:pPr>
        <w:pStyle w:val="ListNumber"/>
        <w:spacing w:after="40"/>
      </w:pPr>
      <w:r>
        <w:t>UMA vote package, including vote validation files, reveal event data, voting power summaries, and concentration notes.</w:t>
      </w:r>
    </w:p>
    <w:p>
      <w:pPr>
        <w:pStyle w:val="ListNumber"/>
        <w:spacing w:after="40"/>
      </w:pPr>
      <w:r>
        <w:t>Trading and redemption package, including YES buyer summaries, ERC1155 receipt based token movement, Step 10 redemption outputs, ERC20 transfer outputs, and Step 11 wallet link outputs.</w:t>
      </w:r>
    </w:p>
    <w:p>
      <w:pPr>
        <w:pStyle w:val="ListNumber"/>
        <w:spacing w:after="40"/>
      </w:pPr>
      <w:r>
        <w:t>ARB exhibit packet, including the exact resolution receipt, Safe Transaction Service files, Safe screenshots, YES buy proof, redemption proof, payout proof, related market UMA activity, and hash manifest.</w:t>
      </w:r>
    </w:p>
    <w:p>
      <w:pPr>
        <w:pStyle w:val="ListNumber"/>
        <w:spacing w:after="40"/>
      </w:pPr>
      <w:r>
        <w:t>Depth-4 Top UMA whale path test packet, including run summary, path rows, high-priority leads, key target edges, Top 12 UMA focus targets, and filtering notes that explain why the Top 12 direct whale-link theory is currently weak.</w:t>
      </w:r>
    </w:p>
    <w:p>
      <w:pPr>
        <w:pStyle w:val="ListNumber"/>
        <w:spacing w:after="40"/>
      </w:pPr>
      <w:r>
        <w:t>PolyAudit suspect profiler packet, including tracked wallets, all suspect transfers, direct suspect relations, ARB to tf2 direct transfers, 0xc417fd... funding cluster, 0xacff32... infrastructure review, GroyperFinance profile, secretscent / RockSolidBond profile, CTF / ERC1155 review, and summary findings.</w:t>
      </w:r>
    </w:p>
    <w:p>
      <w:pPr>
        <w:pStyle w:val="ListNumber"/>
        <w:spacing w:after="40"/>
      </w:pPr>
      <w:r>
        <w:t>Damages package, including LOSS 001, LOSS 002, claimant intake templates, wallet ownership proof requirements, and current limitations.</w:t>
      </w:r>
    </w:p>
    <w:p>
      <w:pPr>
        <w:pStyle w:val="ListNumber"/>
        <w:spacing w:after="40"/>
      </w:pPr>
      <w:r>
        <w:t>Known gaps and open questions list.</w:t>
      </w:r>
    </w:p>
    <w:p>
      <w:pPr>
        <w:pStyle w:val="Heading1"/>
      </w:pPr>
      <w:r>
        <w:t>16. Current limitations and careful wording</w:t>
      </w:r>
    </w:p>
    <w:p>
      <w:pPr>
        <w:spacing w:after="120"/>
      </w:pPr>
      <w:r>
        <w:t>The investigation has important strengths, but counsel should avoid overstating certain points.</w:t>
      </w:r>
    </w:p>
    <w:p>
      <w:pPr>
        <w:spacing w:after="120"/>
      </w:pPr>
      <w:r>
        <w:t>The evidence currently supports a serious challenge to the YES resolution, a material damages theory, a strong ARB conflict and resolution process lead, and extensive trading and redemption analysis. It does not yet conclusively prove fraud, market manipulation, collusion, personal control of all wallets, or that UMA DVM voters and YES traders were the same people.</w:t>
      </w:r>
    </w:p>
    <w:p>
      <w:pPr>
        <w:spacing w:after="120"/>
      </w:pPr>
      <w:r>
        <w:t>The proper current language is that the evidence raises serious questions requiring legal review, preservation demands, discovery, and expert forensic analysis. Where direct proof exists, such as specific transactions, receipts, token movements, resolution records, and hashes, the note identifies those records directly. Where the evidence is inferential, such as beneficial ownership or coordination, the note frames those matters as leads or questions.</w:t>
      </w:r>
    </w:p>
    <w:p>
      <w:pPr>
        <w:pStyle w:val="Heading1"/>
      </w:pPr>
      <w:r>
        <w:t>17. Proposed legal and discovery focus</w:t>
      </w:r>
    </w:p>
    <w:p>
      <w:pPr>
        <w:spacing w:after="120"/>
      </w:pPr>
      <w:r>
        <w:t>The immediate focus for counsel should be preservation and discovery concerning the rule interpretation, resolution decision path, conflict of interest issues, actor identities, wallet control, and damages.</w:t>
      </w:r>
    </w:p>
    <w:p>
      <w:pPr>
        <w:spacing w:after="120"/>
      </w:pPr>
      <w:r>
        <w:t>Key discovery targets may include Polymarket market creation records, market rule version history, internal resolution communications, API and database records, dispute and escalation records, UMA oracle question mapping, proposer and resolver records, voter and delegate records, Safe owner and signer records where legally obtainable, large trader records, settlement records, and claimant account records.</w:t>
      </w:r>
    </w:p>
    <w:p>
      <w:pPr>
        <w:spacing w:after="120"/>
      </w:pPr>
      <w:r>
        <w:t>The group should continue preserving original files, maintaining hashes, recording source context, and separating claimant identity information for counsel only review.</w:t>
      </w:r>
    </w:p>
    <w:p>
      <w:pPr>
        <w:pStyle w:val="Heading1"/>
      </w:pPr>
      <w:r>
        <w:t>18. Short summary for counsel</w:t>
      </w:r>
    </w:p>
    <w:p>
      <w:pPr>
        <w:spacing w:after="120"/>
      </w:pPr>
      <w:r>
        <w:t>The claimant group is organizing a potential legal action concerning the Polymarket market “US x Iran permanent peace deal by June 15, 2026.” The group alleges that the written YES criteria required a qualifying permanent peace agreement by 15 June 2026 at 11:59 PM Eastern Time, that no qualifying agreement existed by that deadline, and that the market nevertheless resolved YES after the UMA related resolution process.</w:t>
      </w:r>
    </w:p>
    <w:p>
      <w:pPr>
        <w:spacing w:after="120"/>
      </w:pPr>
      <w:r>
        <w:t>The evidence archive now includes market identity records, UMA voting materials, Polymarket trade records, ERC1155 token movement records, redemption and payout records, wallet link analysis, ARB resolution process evidence, depth-4 Top UMA whale path testing, PolyAudit suspect-profiler outputs, damages analysis, evidence register rows, and SHA 256 hash manifests. The strongest actor specific lead concerns the ARB Safe, which appears to have had a material YES position, participated in the exact market’s YES resolution transaction, and received post resolution proceeds.</w:t>
      </w:r>
    </w:p>
    <w:p>
      <w:pPr>
        <w:spacing w:after="120"/>
      </w:pPr>
      <w:r>
        <w:t>The current evidence does not need to be framed as final proof of fraud to be significant. It supports a substantial rule based and process based challenge, possible conflict of interest inquiry, significant damages analysis, and a focused request for legal preservation, discovery, and forensic review.</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