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bidi w:val="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1"/>
        </w:rPr>
        <w:t xml:space="preserve">אמנת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בסייבר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גבהים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bidi w:val="1"/>
        <w:rPr/>
      </w:pPr>
      <w:bookmarkStart w:colFirst="0" w:colLast="0" w:name="_30j0zll" w:id="1"/>
      <w:bookmarkEnd w:id="1"/>
      <w:r w:rsidDel="00000000" w:rsidR="00000000" w:rsidRPr="00000000">
        <w:rPr>
          <w:rtl w:val="1"/>
        </w:rPr>
        <w:t xml:space="preserve">מבוא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הנוגעים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גבהים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יירכשו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ומיומנויות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ומיומנויות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מחוצה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האמנה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נחקק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בשנת</w:t>
      </w:r>
      <w:r w:rsidDel="00000000" w:rsidR="00000000" w:rsidRPr="00000000">
        <w:rPr>
          <w:rtl w:val="1"/>
        </w:rPr>
        <w:t xml:space="preserve"> 1995.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עשרת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בשנת</w:t>
      </w:r>
      <w:r w:rsidDel="00000000" w:rsidR="00000000" w:rsidRPr="00000000">
        <w:rPr>
          <w:rtl w:val="1"/>
        </w:rPr>
        <w:t xml:space="preserve"> 1992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bidi w:val="1"/>
        <w:rPr/>
      </w:pPr>
      <w:bookmarkStart w:colFirst="0" w:colLast="0" w:name="_1fob9te" w:id="2"/>
      <w:bookmarkEnd w:id="2"/>
      <w:r w:rsidDel="00000000" w:rsidR="00000000" w:rsidRPr="00000000">
        <w:rPr>
          <w:rtl w:val="1"/>
        </w:rPr>
        <w:t xml:space="preserve">התחייבות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/>
      </w:pPr>
      <w:r w:rsidDel="00000000" w:rsidR="00000000" w:rsidRPr="00000000">
        <w:rPr>
          <w:b w:val="1"/>
          <w:sz w:val="28"/>
          <w:szCs w:val="28"/>
          <w:rtl w:val="1"/>
        </w:rPr>
        <w:t xml:space="preserve">בחתימתי</w:t>
      </w:r>
      <w:r w:rsidDel="00000000" w:rsidR="00000000" w:rsidRPr="00000000">
        <w:rPr>
          <w:b w:val="1"/>
          <w:sz w:val="28"/>
          <w:szCs w:val="28"/>
          <w:rtl w:val="1"/>
        </w:rPr>
        <w:t xml:space="preserve">,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אני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מתחייב</w:t>
      </w:r>
      <w:r w:rsidDel="00000000" w:rsidR="00000000" w:rsidRPr="00000000">
        <w:rPr>
          <w:b w:val="1"/>
          <w:sz w:val="28"/>
          <w:szCs w:val="28"/>
          <w:rtl w:val="1"/>
        </w:rPr>
        <w:t xml:space="preserve">/</w:t>
      </w:r>
      <w:r w:rsidDel="00000000" w:rsidR="00000000" w:rsidRPr="00000000">
        <w:rPr>
          <w:b w:val="1"/>
          <w:sz w:val="28"/>
          <w:szCs w:val="28"/>
          <w:rtl w:val="1"/>
        </w:rPr>
        <w:t xml:space="preserve">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/>
      </w:pPr>
      <w:r w:rsidDel="00000000" w:rsidR="00000000" w:rsidRPr="00000000">
        <w:rPr>
          <w:b w:val="1"/>
          <w:sz w:val="28"/>
          <w:szCs w:val="28"/>
          <w:rtl w:val="1"/>
        </w:rPr>
        <w:t xml:space="preserve">לפעול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לפי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אמנת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אתיקה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בסייבר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/>
      </w:pPr>
      <w:r w:rsidDel="00000000" w:rsidR="00000000" w:rsidRPr="00000000">
        <w:rPr>
          <w:b w:val="1"/>
          <w:sz w:val="28"/>
          <w:szCs w:val="28"/>
          <w:rtl w:val="1"/>
        </w:rPr>
        <w:t xml:space="preserve">ולשמור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חוק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המחשבים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,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עשרת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העקרונות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אתיקת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המחשב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רוחם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6"/>
        <w:gridCol w:w="1634"/>
        <w:tblGridChange w:id="0">
          <w:tblGrid>
            <w:gridCol w:w="7366"/>
            <w:gridCol w:w="1634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עומר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דגרי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מלא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215200908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תעודת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זהות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4 </w:t>
            </w:r>
            <w:r w:rsidDel="00000000" w:rsidR="00000000" w:rsidRPr="00000000">
              <w:rPr>
                <w:rtl w:val="1"/>
              </w:rPr>
              <w:t xml:space="preserve">בספט</w:t>
            </w:r>
            <w:r w:rsidDel="00000000" w:rsidR="00000000" w:rsidRPr="00000000">
              <w:rPr>
                <w:rtl w:val="1"/>
              </w:rPr>
              <w:t xml:space="preserve">׳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עומר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דגרי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חתימה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דגרי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דגרי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ההורה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חתימת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ההורה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bidi w:val="1"/>
        <w:rPr/>
      </w:pPr>
      <w:bookmarkStart w:colFirst="0" w:colLast="0" w:name="_2et92p0" w:id="3"/>
      <w:bookmarkEnd w:id="3"/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המחשבים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בפרק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׳ </w:t>
      </w:r>
      <w:r w:rsidDel="00000000" w:rsidR="00000000" w:rsidRPr="00000000">
        <w:rPr>
          <w:rtl w:val="1"/>
        </w:rPr>
        <w:t xml:space="preserve">בחוק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Layout w:type="fixed"/>
        <w:tblLook w:val="0600"/>
      </w:tblPr>
      <w:tblGrid>
        <w:gridCol w:w="1305"/>
        <w:gridCol w:w="7695"/>
        <w:tblGridChange w:id="0">
          <w:tblGrid>
            <w:gridCol w:w="1305"/>
            <w:gridCol w:w="7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bidi w:val="1"/>
              <w:rPr/>
            </w:pPr>
            <w:r w:rsidDel="00000000" w:rsidR="00000000" w:rsidRPr="00000000">
              <w:rPr>
                <w:sz w:val="16"/>
                <w:szCs w:val="16"/>
                <w:rtl w:val="1"/>
              </w:rPr>
              <w:t xml:space="preserve">שיבוש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או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הפרעה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למחשב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או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לחומר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מחשב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משבש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התקינה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מפריע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מוחק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מחשב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גורם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משבשו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מפריע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bidi w:val="1"/>
              <w:rPr/>
            </w:pPr>
            <w:r w:rsidDel="00000000" w:rsidR="00000000" w:rsidRPr="00000000">
              <w:rPr>
                <w:sz w:val="16"/>
                <w:szCs w:val="16"/>
                <w:rtl w:val="1"/>
              </w:rPr>
              <w:t xml:space="preserve">מידע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כוזב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או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פלט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כוזב</w:t>
            </w:r>
            <w:r w:rsidDel="00000000" w:rsidR="00000000" w:rsidRPr="00000000">
              <w:rPr>
                <w:sz w:val="16"/>
                <w:szCs w:val="16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מעביר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מאחסן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כוזב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שתוצאתה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כוזב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כוזב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כותב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מעביר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מאחסן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במחשב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שתוצאת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כוזב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כוזב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מפעיל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כאמור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bidi w:val="1"/>
              <w:rPr/>
            </w:pPr>
            <w:r w:rsidDel="00000000" w:rsidR="00000000" w:rsidRPr="00000000">
              <w:rPr>
                <w:sz w:val="16"/>
                <w:szCs w:val="16"/>
                <w:rtl w:val="1"/>
              </w:rPr>
              <w:t xml:space="preserve">חדירה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לחומר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מחשב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שלא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כדין</w:t>
            </w:r>
            <w:r w:rsidDel="00000000" w:rsidR="00000000" w:rsidRPr="00000000">
              <w:rPr>
                <w:sz w:val="16"/>
                <w:szCs w:val="16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החודר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במחשב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חדירה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bidi w:val="1"/>
              <w:rPr/>
            </w:pPr>
            <w:r w:rsidDel="00000000" w:rsidR="00000000" w:rsidRPr="00000000">
              <w:rPr>
                <w:sz w:val="16"/>
                <w:szCs w:val="16"/>
                <w:rtl w:val="1"/>
              </w:rPr>
              <w:t xml:space="preserve">פעולות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אסורות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בתוכנה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המפיץ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לציבור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המעביר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המחדיר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המתקין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הכותב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סוגל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מהפעולות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שיבוש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התקינה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מחיקת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מחשב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גרימה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שיבושו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שתוצאתן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כוזב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כוזב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חדירה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במחשב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האזנת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סתר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פגיעה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בפרטיות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bidi w:val="1"/>
        <w:rPr/>
      </w:pPr>
      <w:bookmarkStart w:colFirst="0" w:colLast="0" w:name="_tyjcwt" w:id="4"/>
      <w:bookmarkEnd w:id="4"/>
      <w:r w:rsidDel="00000000" w:rsidR="00000000" w:rsidRPr="00000000">
        <w:rPr>
          <w:rtl w:val="1"/>
        </w:rPr>
        <w:t xml:space="preserve">עשרת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לזולת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הזולת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לחטט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הזולת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לגנוב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כוזב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הזולת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ההשלכות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מעצב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לזולת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bidi w:val="1"/>
        <w:rPr/>
      </w:pPr>
      <w:bookmarkStart w:colFirst="0" w:colLast="0" w:name="_3dy6vkm" w:id="5"/>
      <w:bookmarkEnd w:id="5"/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0.0" w:type="dxa"/>
        <w:tblLayout w:type="fixed"/>
        <w:tblLook w:val="0600"/>
      </w:tblPr>
      <w:tblGrid>
        <w:gridCol w:w="2565"/>
        <w:gridCol w:w="6435"/>
        <w:tblGridChange w:id="0">
          <w:tblGrid>
            <w:gridCol w:w="2565"/>
            <w:gridCol w:w="643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חוק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המחשבים</w:t>
            </w:r>
            <w:r w:rsidDel="00000000" w:rsidR="00000000" w:rsidRPr="00000000">
              <w:rPr>
                <w:b w:val="1"/>
                <w:rtl w:val="1"/>
              </w:rPr>
              <w:t xml:space="preserve"> - 1995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http://www.knesset.gov.il/laws/data/law/1534/1534_1.pdf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תיקון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לחוק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המחשבים</w:t>
            </w:r>
            <w:r w:rsidDel="00000000" w:rsidR="00000000" w:rsidRPr="00000000">
              <w:rPr>
                <w:b w:val="1"/>
                <w:rtl w:val="1"/>
              </w:rPr>
              <w:t xml:space="preserve"> - 2012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http://www.knesset.gov.il/privatelaw/data/18/3/468_3_2.rtf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הסברים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עשרת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העקרונות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אתיקת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המחשב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http://www.cmpe.boun.edu.tr/~say/c150/intro/lit10.html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2">
      <w:pPr>
        <w:bidi w:val="1"/>
        <w:spacing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כוזב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כוזב</w:t>
      </w:r>
      <w:r w:rsidDel="00000000" w:rsidR="00000000" w:rsidRPr="00000000">
        <w:rPr>
          <w:rtl w:val="1"/>
        </w:rPr>
        <w:t xml:space="preserve">" –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.</w:t>
      </w:r>
    </w:p>
  </w:footnote>
  <w:footnote w:id="1">
    <w:p w:rsidR="00000000" w:rsidDel="00000000" w:rsidP="00000000" w:rsidRDefault="00000000" w:rsidRPr="00000000" w14:paraId="00000053">
      <w:pPr>
        <w:bidi w:val="1"/>
        <w:spacing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" – </w:t>
      </w:r>
      <w:r w:rsidDel="00000000" w:rsidR="00000000" w:rsidRPr="00000000">
        <w:rPr>
          <w:rtl w:val="1"/>
        </w:rPr>
        <w:t xml:space="preserve">חדירה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הפעלתו</w:t>
      </w:r>
      <w:r w:rsidDel="00000000" w:rsidR="00000000" w:rsidRPr="00000000">
        <w:rPr>
          <w:rtl w:val="1"/>
        </w:rPr>
        <w:t xml:space="preserve">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mpe.boun.edu.tr/~say/c150/intro/lit10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knesset.gov.il/laws/data/law/1534/1534_1.pdf" TargetMode="External"/><Relationship Id="rId8" Type="http://schemas.openxmlformats.org/officeDocument/2006/relationships/hyperlink" Target="http://www.knesset.gov.il/privatelaw/data/18/3/468_3_2.r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