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rPr/>
      </w:pPr>
      <w:r w:rsidDel="00000000" w:rsidR="00000000" w:rsidRPr="00000000">
        <w:rPr>
          <w:rtl w:val="1"/>
        </w:rPr>
        <w:t xml:space="preserve">צופן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טרנספוזיציה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transposition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טרנספוזיציה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בזמן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ההצפנה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משנים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מיקומן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האותיות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הוא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וותיק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מאד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ודוגמה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שלו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הצפנת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skytale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אחד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המימושים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הנפוצים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בהצפנה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זו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מטריצה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מפתח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ההצפנה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הינו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במטריצה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מספר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השורות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נקבע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בהתאם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הטקסט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המוצפן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ההודעה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החל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מהשורה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תיכתב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אחת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הצופן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ייכתב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פי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העמודות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כאשר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מתחילים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מהעמודה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הראשונה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לדוגמה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נרצה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להצפין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הטקסט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הבא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בעזרת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מפתח</w:t>
      </w:r>
      <w:r w:rsidDel="00000000" w:rsidR="00000000" w:rsidRPr="00000000">
        <w:rPr>
          <w:sz w:val="28"/>
          <w:szCs w:val="28"/>
          <w:rtl w:val="1"/>
        </w:rPr>
        <w:t xml:space="preserve"> 8: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WAS DISCOVERED SAVE YOURSELF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נכתוב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אותו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במטריצה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בעלת</w:t>
      </w:r>
      <w:r w:rsidDel="00000000" w:rsidR="00000000" w:rsidRPr="00000000">
        <w:rPr>
          <w:sz w:val="28"/>
          <w:szCs w:val="28"/>
          <w:rtl w:val="1"/>
        </w:rPr>
        <w:t xml:space="preserve"> 8 </w:t>
      </w:r>
      <w:r w:rsidDel="00000000" w:rsidR="00000000" w:rsidRPr="00000000">
        <w:rPr>
          <w:sz w:val="28"/>
          <w:szCs w:val="28"/>
          <w:rtl w:val="1"/>
        </w:rPr>
        <w:t xml:space="preserve">עמודות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tbl>
      <w:tblPr>
        <w:tblStyle w:val="Table1"/>
        <w:tblW w:w="3455.9999999999995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tblGridChange w:id="0">
          <w:tblGrid>
            <w:gridCol w:w="432"/>
            <w:gridCol w:w="432"/>
            <w:gridCol w:w="432"/>
            <w:gridCol w:w="432"/>
            <w:gridCol w:w="432"/>
            <w:gridCol w:w="432"/>
            <w:gridCol w:w="432"/>
            <w:gridCol w:w="432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הצופן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IS U CSRWOASAVVESEEL R FDEY IDO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למחשבה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חישבו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התוקף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מעוניין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להתגבר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הצפנות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מכניסות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הריקים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בסימן</w:t>
      </w:r>
      <w:r w:rsidDel="00000000" w:rsidR="00000000" w:rsidRPr="00000000">
        <w:rPr>
          <w:rtl w:val="1"/>
        </w:rPr>
        <w:t xml:space="preserve"> '|' (</w:t>
      </w:r>
      <w:r w:rsidDel="00000000" w:rsidR="00000000" w:rsidRPr="00000000">
        <w:rPr>
          <w:rtl w:val="0"/>
        </w:rPr>
        <w:t xml:space="preserve">pipe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לפענח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הצדדים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הטקסט</w:t>
      </w:r>
      <w:r w:rsidDel="00000000" w:rsidR="00000000" w:rsidRPr="00000000">
        <w:rPr>
          <w:rtl w:val="1"/>
        </w:rPr>
        <w:t xml:space="preserve"> (31) </w:t>
      </w:r>
      <w:r w:rsidDel="00000000" w:rsidR="00000000" w:rsidRPr="00000000">
        <w:rPr>
          <w:rtl w:val="1"/>
        </w:rPr>
        <w:t xml:space="preserve">במפתח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31 / 8 = 3.875 </w:t>
      </w:r>
      <w:r w:rsidDel="00000000" w:rsidR="00000000" w:rsidRPr="00000000">
        <w:rPr>
          <w:rtl w:val="0"/>
        </w:rPr>
        <w:t xml:space="preserve">🡪 4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נבנה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עמודות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הצופן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7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"/>
        <w:gridCol w:w="432"/>
        <w:gridCol w:w="432"/>
        <w:gridCol w:w="432"/>
        <w:tblGridChange w:id="0">
          <w:tblGrid>
            <w:gridCol w:w="432"/>
            <w:gridCol w:w="432"/>
            <w:gridCol w:w="432"/>
            <w:gridCol w:w="432"/>
          </w:tblGrid>
        </w:tblGridChange>
      </w:tblGrid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נפענח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 WAS DISCOVERED SAVE YOURSELF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ועכשיו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נסו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להצפין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שבדוגמה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25.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לדעתכם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הצופן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לפיצוח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ממחצית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שלמדנו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בסעיף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המוצפנת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המוצפנת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להדפיס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המפוענחת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מזגו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התוכניות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לתוכנית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argv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הריצה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Encrypt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להצפנה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Decrypt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לפיענוח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פענחו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10: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'hccnShx5ehtsoteG9Cdat.m/AQvpirpg/dXqAdtisod/7tov?n:oo1oUUuug/gcCEoPTs/lu6EAyBpdemQZMK0=o.e26WY/s'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מקודד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ההודעה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'hccnShx5ehtsoteG9Cdat.m/AQvpirpg/dXqAdtisod/7tov?n:oo1oUUuug/gcCEoPTs /lu6EAyBp demQZMK0= o.e26WY/s '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</w:pPr>
    <w:rPr>
      <w:rFonts w:ascii="Arial" w:cs="Arial" w:eastAsia="Arial" w:hAnsi="Arial"/>
      <w:color w:val="4472c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bidi w:val="1"/>
      <w:spacing w:after="60" w:before="240" w:line="360" w:lineRule="auto"/>
      <w:jc w:val="center"/>
    </w:pPr>
    <w:rPr>
      <w:rFonts w:ascii="Calibri" w:cs="Calibri" w:eastAsia="Calibri" w:hAnsi="Calibri"/>
      <w:b w:val="1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