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AFA7" w14:textId="182E8898" w:rsidR="008A55B5" w:rsidRPr="003B4D5D" w:rsidRDefault="003B0F24" w:rsidP="003B0F24">
      <w:pPr>
        <w:pStyle w:val="Author"/>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r w:rsidRPr="003B0F24">
        <w:rPr>
          <w:bCs/>
          <w:sz w:val="48"/>
          <w:szCs w:val="48"/>
        </w:rPr>
        <w:t>Photovoltaic Hosting Capacity of Feeders</w:t>
      </w:r>
    </w:p>
    <w:p w14:paraId="6187E854" w14:textId="552A3F39" w:rsidR="00145F46" w:rsidRDefault="00145F46" w:rsidP="00975083">
      <w:pPr>
        <w:pStyle w:val="Affiliation"/>
        <w:jc w:val="both"/>
        <w:rPr>
          <w:lang w:val="tr-TR"/>
        </w:rPr>
      </w:pPr>
    </w:p>
    <w:p w14:paraId="50C846DF" w14:textId="2E53B8B2" w:rsidR="003B0F24" w:rsidRDefault="003B0F24" w:rsidP="00975083">
      <w:pPr>
        <w:pStyle w:val="Affiliation"/>
        <w:jc w:val="both"/>
        <w:rPr>
          <w:lang w:val="tr-TR"/>
        </w:rPr>
      </w:pPr>
    </w:p>
    <w:p w14:paraId="62243F03" w14:textId="2AA899C8" w:rsidR="003B0F24" w:rsidRPr="003B0F24" w:rsidRDefault="003B0F24" w:rsidP="00F8784D">
      <w:pPr>
        <w:pStyle w:val="Affiliation"/>
        <w:jc w:val="both"/>
        <w:rPr>
          <w:lang w:val="tr-TR"/>
        </w:rPr>
      </w:pPr>
      <w:r>
        <w:rPr>
          <w:lang w:val="tr-TR"/>
        </w:rPr>
        <w:t xml:space="preserve">                                   </w:t>
      </w:r>
    </w:p>
    <w:p w14:paraId="36B558F5" w14:textId="08D47BC3" w:rsidR="003B0F24" w:rsidRDefault="003B0F24" w:rsidP="003B0F24">
      <w:pPr>
        <w:pStyle w:val="Affiliation"/>
        <w:jc w:val="both"/>
        <w:rPr>
          <w:lang w:val="tr-TR"/>
        </w:rPr>
      </w:pPr>
    </w:p>
    <w:p w14:paraId="5CE15CC7" w14:textId="562724A3" w:rsidR="003B0F24" w:rsidRDefault="003B0F24" w:rsidP="003B0F24">
      <w:pPr>
        <w:pStyle w:val="Affiliation"/>
        <w:rPr>
          <w:lang w:val="tr-TR"/>
        </w:rPr>
      </w:pPr>
      <w:r w:rsidRPr="003B0F24">
        <w:rPr>
          <w:lang w:val="tr-TR"/>
        </w:rPr>
        <w:cr/>
      </w:r>
    </w:p>
    <w:p w14:paraId="447879AC" w14:textId="5CE0A774" w:rsidR="003B0F24" w:rsidRDefault="003B0F24" w:rsidP="00975083">
      <w:pPr>
        <w:pStyle w:val="Affiliation"/>
        <w:jc w:val="both"/>
        <w:rPr>
          <w:lang w:val="tr-TR"/>
        </w:rPr>
      </w:pPr>
    </w:p>
    <w:p w14:paraId="41534EEA" w14:textId="77777777" w:rsidR="008A55B5" w:rsidRPr="003B4D5D" w:rsidRDefault="008A55B5" w:rsidP="003B0F24">
      <w:pPr>
        <w:jc w:val="both"/>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65084320" w14:textId="51DAFC08" w:rsidR="00C871AE" w:rsidRPr="00C871AE" w:rsidRDefault="008A55B5" w:rsidP="00C871AE">
      <w:pPr>
        <w:pStyle w:val="Abstract"/>
        <w:spacing w:after="120"/>
        <w:ind w:firstLine="0"/>
      </w:pPr>
      <w:proofErr w:type="spellStart"/>
      <w:r w:rsidRPr="003B4D5D">
        <w:rPr>
          <w:rFonts w:eastAsia="MS Mincho"/>
          <w:i/>
          <w:iCs/>
          <w:lang w:val="tr-TR"/>
        </w:rPr>
        <w:t>Abstract</w:t>
      </w:r>
      <w:proofErr w:type="spellEnd"/>
      <w:r w:rsidRPr="003B4D5D">
        <w:rPr>
          <w:rFonts w:eastAsia="MS Mincho"/>
          <w:lang w:val="tr-TR"/>
        </w:rPr>
        <w:t>—</w:t>
      </w:r>
      <w:r w:rsidR="00395721" w:rsidRPr="00395721">
        <w:t xml:space="preserve"> </w:t>
      </w:r>
      <w:r w:rsidR="003B0F24" w:rsidRPr="003B0F24">
        <w:t xml:space="preserve">This paper is about </w:t>
      </w:r>
      <w:r w:rsidR="00C41645">
        <w:t xml:space="preserve">the </w:t>
      </w:r>
      <w:r w:rsidR="003B0F24">
        <w:t>c</w:t>
      </w:r>
      <w:r w:rsidR="003B0F24" w:rsidRPr="003B0F24">
        <w:t xml:space="preserve">onfiguration of </w:t>
      </w:r>
      <w:r w:rsidR="00C41645">
        <w:t xml:space="preserve">a </w:t>
      </w:r>
      <w:r w:rsidR="003B0F24" w:rsidRPr="003B0F24">
        <w:t xml:space="preserve">distribution network </w:t>
      </w:r>
      <w:r w:rsidR="00C41645">
        <w:t>that</w:t>
      </w:r>
      <w:r w:rsidR="003B0F24" w:rsidRPr="003B0F24">
        <w:t xml:space="preserve"> has a maximum hosting capacity of </w:t>
      </w:r>
      <w:r w:rsidR="00C41645">
        <w:t>a large-scale</w:t>
      </w:r>
      <w:r w:rsidR="003B0F24" w:rsidRPr="003B0F24">
        <w:t xml:space="preserve"> PV power station has been investigated.</w:t>
      </w:r>
      <w:r w:rsidR="003B0F24">
        <w:t xml:space="preserve"> </w:t>
      </w:r>
      <w:r w:rsidR="003B0F24" w:rsidRPr="003B0F24">
        <w:t xml:space="preserve">The hosting capacity is expressed by the maximum capacity of </w:t>
      </w:r>
      <w:r w:rsidR="00C41645">
        <w:t xml:space="preserve">the </w:t>
      </w:r>
      <w:r w:rsidR="003B0F24" w:rsidRPr="003B0F24">
        <w:t xml:space="preserve">PV power station </w:t>
      </w:r>
      <w:r w:rsidR="003B0F24">
        <w:t>injected</w:t>
      </w:r>
      <w:r w:rsidR="003B0F24" w:rsidRPr="003B0F24">
        <w:t xml:space="preserve"> </w:t>
      </w:r>
      <w:r w:rsidR="00C41645">
        <w:t>into</w:t>
      </w:r>
      <w:r w:rsidR="003B0F24" w:rsidRPr="003B0F24">
        <w:t xml:space="preserve"> the distribution network without power quality deterioration such as violations of voltage constraint of </w:t>
      </w:r>
      <w:r w:rsidR="00C41645">
        <w:t xml:space="preserve">the </w:t>
      </w:r>
      <w:r w:rsidR="003B0F24" w:rsidRPr="003B0F24">
        <w:t>distribution feeder.</w:t>
      </w:r>
      <w:r w:rsidR="003B0F24">
        <w:t xml:space="preserve"> </w:t>
      </w:r>
      <w:proofErr w:type="spellStart"/>
      <w:r w:rsidR="00C871AE" w:rsidRPr="00C871AE">
        <w:rPr>
          <w:lang w:val="tr-TR"/>
        </w:rPr>
        <w:t>The</w:t>
      </w:r>
      <w:proofErr w:type="spellEnd"/>
      <w:r w:rsidR="00C871AE" w:rsidRPr="00C871AE">
        <w:rPr>
          <w:lang w:val="tr-TR"/>
        </w:rPr>
        <w:t xml:space="preserve"> </w:t>
      </w:r>
      <w:proofErr w:type="spellStart"/>
      <w:r w:rsidR="00C871AE" w:rsidRPr="00C871AE">
        <w:rPr>
          <w:lang w:val="tr-TR"/>
        </w:rPr>
        <w:t>created</w:t>
      </w:r>
      <w:proofErr w:type="spellEnd"/>
      <w:r w:rsidR="00C871AE" w:rsidRPr="00C871AE">
        <w:rPr>
          <w:lang w:val="tr-TR"/>
        </w:rPr>
        <w:t xml:space="preserve"> </w:t>
      </w:r>
      <w:proofErr w:type="spellStart"/>
      <w:r w:rsidR="00C871AE" w:rsidRPr="00C871AE">
        <w:rPr>
          <w:lang w:val="tr-TR"/>
        </w:rPr>
        <w:t>technique</w:t>
      </w:r>
      <w:proofErr w:type="spellEnd"/>
      <w:r w:rsidR="00C871AE" w:rsidRPr="00C871AE">
        <w:rPr>
          <w:lang w:val="tr-TR"/>
        </w:rPr>
        <w:t xml:space="preserve"> </w:t>
      </w:r>
      <w:proofErr w:type="spellStart"/>
      <w:r w:rsidR="00C871AE" w:rsidRPr="00C871AE">
        <w:rPr>
          <w:lang w:val="tr-TR"/>
        </w:rPr>
        <w:t>runs</w:t>
      </w:r>
      <w:proofErr w:type="spellEnd"/>
      <w:r w:rsidR="00C871AE" w:rsidRPr="00C871AE">
        <w:rPr>
          <w:lang w:val="tr-TR"/>
        </w:rPr>
        <w:t xml:space="preserve"> </w:t>
      </w:r>
      <w:proofErr w:type="spellStart"/>
      <w:r w:rsidR="00C871AE" w:rsidRPr="00C871AE">
        <w:rPr>
          <w:lang w:val="tr-TR"/>
        </w:rPr>
        <w:t>simulations</w:t>
      </w:r>
      <w:proofErr w:type="spellEnd"/>
      <w:r w:rsidR="00C871AE" w:rsidRPr="00C871AE">
        <w:rPr>
          <w:lang w:val="tr-TR"/>
        </w:rPr>
        <w:t xml:space="preserve"> </w:t>
      </w:r>
      <w:proofErr w:type="spellStart"/>
      <w:r w:rsidR="00C871AE" w:rsidRPr="00C871AE">
        <w:rPr>
          <w:lang w:val="tr-TR"/>
        </w:rPr>
        <w:t>based</w:t>
      </w:r>
      <w:proofErr w:type="spellEnd"/>
      <w:r w:rsidR="00C871AE" w:rsidRPr="00C871AE">
        <w:rPr>
          <w:lang w:val="tr-TR"/>
        </w:rPr>
        <w:t xml:space="preserve"> on</w:t>
      </w:r>
      <w:r w:rsidR="00C871AE">
        <w:rPr>
          <w:lang w:val="tr-TR"/>
        </w:rPr>
        <w:t xml:space="preserve"> a</w:t>
      </w:r>
      <w:r w:rsidR="00C871AE" w:rsidRPr="00C871AE">
        <w:rPr>
          <w:lang w:val="tr-TR"/>
        </w:rPr>
        <w:t xml:space="preserve"> </w:t>
      </w:r>
      <w:proofErr w:type="spellStart"/>
      <w:r w:rsidR="00C871AE" w:rsidRPr="00C871AE">
        <w:rPr>
          <w:lang w:val="tr-TR"/>
        </w:rPr>
        <w:t>high-resolution</w:t>
      </w:r>
      <w:proofErr w:type="spellEnd"/>
      <w:r w:rsidR="00C871AE" w:rsidRPr="00C871AE">
        <w:rPr>
          <w:lang w:val="tr-TR"/>
        </w:rPr>
        <w:t xml:space="preserve"> </w:t>
      </w:r>
      <w:proofErr w:type="spellStart"/>
      <w:r w:rsidR="00C871AE" w:rsidRPr="00C871AE">
        <w:rPr>
          <w:lang w:val="tr-TR"/>
        </w:rPr>
        <w:t>realistic</w:t>
      </w:r>
      <w:proofErr w:type="spellEnd"/>
      <w:r w:rsidR="00C871AE" w:rsidRPr="00C871AE">
        <w:rPr>
          <w:lang w:val="tr-TR"/>
        </w:rPr>
        <w:t xml:space="preserve"> </w:t>
      </w:r>
      <w:proofErr w:type="gramStart"/>
      <w:r w:rsidR="00C871AE" w:rsidRPr="00C871AE">
        <w:rPr>
          <w:lang w:val="tr-TR"/>
        </w:rPr>
        <w:t>data</w:t>
      </w:r>
      <w:proofErr w:type="gramEnd"/>
      <w:r w:rsidR="00C871AE" w:rsidRPr="00C871AE">
        <w:rPr>
          <w:lang w:val="tr-TR"/>
        </w:rPr>
        <w:t xml:space="preserve"> set of PV </w:t>
      </w:r>
      <w:proofErr w:type="spellStart"/>
      <w:r w:rsidR="00C871AE" w:rsidRPr="00C871AE">
        <w:rPr>
          <w:lang w:val="tr-TR"/>
        </w:rPr>
        <w:t>injection</w:t>
      </w:r>
      <w:proofErr w:type="spellEnd"/>
      <w:r w:rsidR="00C871AE" w:rsidRPr="00C871AE">
        <w:rPr>
          <w:lang w:val="tr-TR"/>
        </w:rPr>
        <w:t xml:space="preserve"> </w:t>
      </w:r>
      <w:proofErr w:type="spellStart"/>
      <w:r w:rsidR="00C871AE" w:rsidRPr="00C871AE">
        <w:rPr>
          <w:lang w:val="tr-TR"/>
        </w:rPr>
        <w:t>nodes</w:t>
      </w:r>
      <w:proofErr w:type="spellEnd"/>
      <w:r w:rsidR="00C871AE" w:rsidRPr="00C871AE">
        <w:rPr>
          <w:lang w:val="tr-TR"/>
        </w:rPr>
        <w:t xml:space="preserve">, </w:t>
      </w:r>
      <w:proofErr w:type="spellStart"/>
      <w:r w:rsidR="00C871AE" w:rsidRPr="00C871AE">
        <w:rPr>
          <w:lang w:val="tr-TR"/>
        </w:rPr>
        <w:t>daily</w:t>
      </w:r>
      <w:proofErr w:type="spellEnd"/>
      <w:r w:rsidR="00C871AE" w:rsidRPr="00C871AE">
        <w:rPr>
          <w:lang w:val="tr-TR"/>
        </w:rPr>
        <w:t xml:space="preserve"> PV </w:t>
      </w:r>
      <w:proofErr w:type="spellStart"/>
      <w:r w:rsidR="00C871AE" w:rsidRPr="00C871AE">
        <w:rPr>
          <w:lang w:val="tr-TR"/>
        </w:rPr>
        <w:t>output</w:t>
      </w:r>
      <w:proofErr w:type="spellEnd"/>
      <w:r w:rsidR="00C871AE" w:rsidRPr="00C871AE">
        <w:rPr>
          <w:lang w:val="tr-TR"/>
        </w:rPr>
        <w:t xml:space="preserve"> </w:t>
      </w:r>
      <w:proofErr w:type="spellStart"/>
      <w:r w:rsidR="00C871AE" w:rsidRPr="00C871AE">
        <w:rPr>
          <w:lang w:val="tr-TR"/>
        </w:rPr>
        <w:t>profiles</w:t>
      </w:r>
      <w:proofErr w:type="spellEnd"/>
      <w:r w:rsidR="00C871AE" w:rsidRPr="00C871AE">
        <w:rPr>
          <w:lang w:val="tr-TR"/>
        </w:rPr>
        <w:t xml:space="preserve">, </w:t>
      </w:r>
      <w:proofErr w:type="spellStart"/>
      <w:r w:rsidR="00C871AE" w:rsidRPr="00C871AE">
        <w:rPr>
          <w:lang w:val="tr-TR"/>
        </w:rPr>
        <w:t>and</w:t>
      </w:r>
      <w:proofErr w:type="spellEnd"/>
      <w:r w:rsidR="00C871AE" w:rsidRPr="00C871AE">
        <w:rPr>
          <w:lang w:val="tr-TR"/>
        </w:rPr>
        <w:t xml:space="preserve"> </w:t>
      </w:r>
      <w:proofErr w:type="spellStart"/>
      <w:r w:rsidR="00C871AE" w:rsidRPr="00C871AE">
        <w:rPr>
          <w:lang w:val="tr-TR"/>
        </w:rPr>
        <w:t>daily</w:t>
      </w:r>
      <w:proofErr w:type="spellEnd"/>
      <w:r w:rsidR="00C871AE" w:rsidRPr="00C871AE">
        <w:rPr>
          <w:lang w:val="tr-TR"/>
        </w:rPr>
        <w:t xml:space="preserve"> </w:t>
      </w:r>
      <w:proofErr w:type="spellStart"/>
      <w:r w:rsidR="00C871AE" w:rsidRPr="00C871AE">
        <w:rPr>
          <w:lang w:val="tr-TR"/>
        </w:rPr>
        <w:t>load</w:t>
      </w:r>
      <w:proofErr w:type="spellEnd"/>
      <w:r w:rsidR="00C871AE" w:rsidRPr="00C871AE">
        <w:rPr>
          <w:lang w:val="tr-TR"/>
        </w:rPr>
        <w:t xml:space="preserve"> </w:t>
      </w:r>
      <w:proofErr w:type="spellStart"/>
      <w:r w:rsidR="00C871AE" w:rsidRPr="00C871AE">
        <w:rPr>
          <w:lang w:val="tr-TR"/>
        </w:rPr>
        <w:t>profiles</w:t>
      </w:r>
      <w:proofErr w:type="spellEnd"/>
      <w:r w:rsidR="00C871AE" w:rsidRPr="00C871AE">
        <w:rPr>
          <w:lang w:val="tr-TR"/>
        </w:rPr>
        <w:t xml:space="preserve"> </w:t>
      </w:r>
      <w:proofErr w:type="spellStart"/>
      <w:r w:rsidR="00C41645">
        <w:rPr>
          <w:lang w:val="tr-TR"/>
        </w:rPr>
        <w:t>that</w:t>
      </w:r>
      <w:proofErr w:type="spellEnd"/>
      <w:r w:rsidR="00C41645">
        <w:rPr>
          <w:lang w:val="tr-TR"/>
        </w:rPr>
        <w:t xml:space="preserve"> </w:t>
      </w:r>
      <w:proofErr w:type="spellStart"/>
      <w:r w:rsidR="00C871AE" w:rsidRPr="00C871AE">
        <w:rPr>
          <w:lang w:val="tr-TR"/>
        </w:rPr>
        <w:t>were</w:t>
      </w:r>
      <w:proofErr w:type="spellEnd"/>
      <w:r w:rsidR="00C871AE" w:rsidRPr="00C871AE">
        <w:rPr>
          <w:lang w:val="tr-TR"/>
        </w:rPr>
        <w:t xml:space="preserve"> </w:t>
      </w:r>
      <w:proofErr w:type="spellStart"/>
      <w:r w:rsidR="00C871AE" w:rsidRPr="00C871AE">
        <w:rPr>
          <w:lang w:val="tr-TR"/>
        </w:rPr>
        <w:t>randomly</w:t>
      </w:r>
      <w:proofErr w:type="spellEnd"/>
      <w:r w:rsidR="00C871AE" w:rsidRPr="00C871AE">
        <w:rPr>
          <w:lang w:val="tr-TR"/>
        </w:rPr>
        <w:t xml:space="preserve"> </w:t>
      </w:r>
      <w:proofErr w:type="spellStart"/>
      <w:r w:rsidR="00C871AE" w:rsidRPr="00C871AE">
        <w:rPr>
          <w:lang w:val="tr-TR"/>
        </w:rPr>
        <w:t>selected</w:t>
      </w:r>
      <w:proofErr w:type="spellEnd"/>
      <w:r w:rsidR="00C871AE" w:rsidRPr="00C871AE">
        <w:rPr>
          <w:lang w:val="tr-TR"/>
        </w:rPr>
        <w:t xml:space="preserve">. </w:t>
      </w:r>
      <w:proofErr w:type="spellStart"/>
      <w:r w:rsidR="00C871AE" w:rsidRPr="00C871AE">
        <w:rPr>
          <w:lang w:val="tr-TR"/>
        </w:rPr>
        <w:t>OpenDSS</w:t>
      </w:r>
      <w:proofErr w:type="spellEnd"/>
      <w:r w:rsidR="00C871AE" w:rsidRPr="00C871AE">
        <w:rPr>
          <w:lang w:val="tr-TR"/>
        </w:rPr>
        <w:t xml:space="preserve"> </w:t>
      </w:r>
      <w:proofErr w:type="spellStart"/>
      <w:r w:rsidR="00C871AE" w:rsidRPr="00C871AE">
        <w:rPr>
          <w:lang w:val="tr-TR"/>
        </w:rPr>
        <w:t>and</w:t>
      </w:r>
      <w:proofErr w:type="spellEnd"/>
      <w:r w:rsidR="00C871AE" w:rsidRPr="00C871AE">
        <w:rPr>
          <w:lang w:val="tr-TR"/>
        </w:rPr>
        <w:t xml:space="preserve"> MATLAB </w:t>
      </w:r>
      <w:proofErr w:type="spellStart"/>
      <w:r w:rsidR="00C871AE" w:rsidRPr="00C871AE">
        <w:rPr>
          <w:lang w:val="tr-TR"/>
        </w:rPr>
        <w:t>are</w:t>
      </w:r>
      <w:proofErr w:type="spellEnd"/>
      <w:r w:rsidR="00C871AE" w:rsidRPr="00C871AE">
        <w:rPr>
          <w:lang w:val="tr-TR"/>
        </w:rPr>
        <w:t xml:space="preserve"> </w:t>
      </w:r>
      <w:proofErr w:type="spellStart"/>
      <w:r w:rsidR="00C871AE" w:rsidRPr="00C871AE">
        <w:rPr>
          <w:lang w:val="tr-TR"/>
        </w:rPr>
        <w:t>used</w:t>
      </w:r>
      <w:proofErr w:type="spellEnd"/>
      <w:r w:rsidR="00C871AE" w:rsidRPr="00C871AE">
        <w:rPr>
          <w:lang w:val="tr-TR"/>
        </w:rPr>
        <w:t xml:space="preserve"> </w:t>
      </w:r>
      <w:proofErr w:type="spellStart"/>
      <w:r w:rsidR="00C871AE" w:rsidRPr="00C871AE">
        <w:rPr>
          <w:lang w:val="tr-TR"/>
        </w:rPr>
        <w:t>to</w:t>
      </w:r>
      <w:proofErr w:type="spellEnd"/>
      <w:r w:rsidR="00C871AE" w:rsidRPr="00C871AE">
        <w:rPr>
          <w:lang w:val="tr-TR"/>
        </w:rPr>
        <w:t xml:space="preserve"> </w:t>
      </w:r>
      <w:proofErr w:type="spellStart"/>
      <w:r w:rsidR="00C871AE" w:rsidRPr="00C871AE">
        <w:rPr>
          <w:lang w:val="tr-TR"/>
        </w:rPr>
        <w:t>construct</w:t>
      </w:r>
      <w:proofErr w:type="spellEnd"/>
      <w:r w:rsidR="00C871AE" w:rsidRPr="00C871AE">
        <w:rPr>
          <w:lang w:val="tr-TR"/>
        </w:rPr>
        <w:t xml:space="preserve"> </w:t>
      </w:r>
      <w:proofErr w:type="spellStart"/>
      <w:r w:rsidR="00C871AE" w:rsidRPr="00C871AE">
        <w:rPr>
          <w:lang w:val="tr-TR"/>
        </w:rPr>
        <w:t>the</w:t>
      </w:r>
      <w:proofErr w:type="spellEnd"/>
      <w:r w:rsidR="00C871AE" w:rsidRPr="00C871AE">
        <w:rPr>
          <w:lang w:val="tr-TR"/>
        </w:rPr>
        <w:t xml:space="preserve"> </w:t>
      </w:r>
      <w:proofErr w:type="spellStart"/>
      <w:r w:rsidR="00C871AE" w:rsidRPr="00C871AE">
        <w:rPr>
          <w:lang w:val="tr-TR"/>
        </w:rPr>
        <w:t>simulation</w:t>
      </w:r>
      <w:proofErr w:type="spellEnd"/>
      <w:r w:rsidR="00C871AE" w:rsidRPr="00C871AE">
        <w:rPr>
          <w:lang w:val="tr-TR"/>
        </w:rPr>
        <w:t xml:space="preserve"> setup. </w:t>
      </w:r>
      <w:proofErr w:type="spellStart"/>
      <w:r w:rsidR="00C871AE" w:rsidRPr="00C871AE">
        <w:rPr>
          <w:lang w:val="tr-TR"/>
        </w:rPr>
        <w:t>In</w:t>
      </w:r>
      <w:proofErr w:type="spellEnd"/>
      <w:r w:rsidR="00C871AE" w:rsidRPr="00C871AE">
        <w:rPr>
          <w:lang w:val="tr-TR"/>
        </w:rPr>
        <w:t xml:space="preserve"> </w:t>
      </w:r>
      <w:proofErr w:type="spellStart"/>
      <w:r w:rsidR="00C871AE" w:rsidRPr="00C871AE">
        <w:rPr>
          <w:lang w:val="tr-TR"/>
        </w:rPr>
        <w:t>the</w:t>
      </w:r>
      <w:proofErr w:type="spellEnd"/>
      <w:r w:rsidR="00C871AE" w:rsidRPr="00C871AE">
        <w:rPr>
          <w:lang w:val="tr-TR"/>
        </w:rPr>
        <w:t xml:space="preserve"> IEEE 123-node </w:t>
      </w:r>
      <w:proofErr w:type="spellStart"/>
      <w:r w:rsidR="00C871AE" w:rsidRPr="00C871AE">
        <w:rPr>
          <w:lang w:val="tr-TR"/>
        </w:rPr>
        <w:t>distribution</w:t>
      </w:r>
      <w:proofErr w:type="spellEnd"/>
      <w:r w:rsidR="00C871AE" w:rsidRPr="00C871AE">
        <w:rPr>
          <w:lang w:val="tr-TR"/>
        </w:rPr>
        <w:t xml:space="preserve"> </w:t>
      </w:r>
      <w:proofErr w:type="spellStart"/>
      <w:r w:rsidR="00C871AE" w:rsidRPr="00C871AE">
        <w:rPr>
          <w:lang w:val="tr-TR"/>
        </w:rPr>
        <w:t>feeder</w:t>
      </w:r>
      <w:proofErr w:type="spellEnd"/>
      <w:r w:rsidR="00C871AE" w:rsidRPr="00C871AE">
        <w:rPr>
          <w:lang w:val="tr-TR"/>
        </w:rPr>
        <w:t xml:space="preserve">, </w:t>
      </w:r>
      <w:proofErr w:type="spellStart"/>
      <w:r w:rsidR="00C871AE" w:rsidRPr="00C871AE">
        <w:rPr>
          <w:lang w:val="tr-TR"/>
        </w:rPr>
        <w:t>the</w:t>
      </w:r>
      <w:proofErr w:type="spellEnd"/>
      <w:r w:rsidR="00C871AE" w:rsidRPr="00C871AE">
        <w:rPr>
          <w:lang w:val="tr-TR"/>
        </w:rPr>
        <w:t xml:space="preserve"> </w:t>
      </w:r>
      <w:proofErr w:type="spellStart"/>
      <w:r w:rsidR="00C871AE" w:rsidRPr="00C871AE">
        <w:rPr>
          <w:lang w:val="tr-TR"/>
        </w:rPr>
        <w:t>performance</w:t>
      </w:r>
      <w:proofErr w:type="spellEnd"/>
      <w:r w:rsidR="00C871AE" w:rsidRPr="00C871AE">
        <w:rPr>
          <w:lang w:val="tr-TR"/>
        </w:rPr>
        <w:t xml:space="preserve"> of </w:t>
      </w:r>
      <w:proofErr w:type="spellStart"/>
      <w:r w:rsidR="00C871AE" w:rsidRPr="00C871AE">
        <w:rPr>
          <w:lang w:val="tr-TR"/>
        </w:rPr>
        <w:t>the</w:t>
      </w:r>
      <w:proofErr w:type="spellEnd"/>
      <w:r w:rsidR="00C871AE" w:rsidRPr="00C871AE">
        <w:rPr>
          <w:lang w:val="tr-TR"/>
        </w:rPr>
        <w:t xml:space="preserve"> </w:t>
      </w:r>
      <w:proofErr w:type="spellStart"/>
      <w:r w:rsidR="00C871AE" w:rsidRPr="00C871AE">
        <w:rPr>
          <w:lang w:val="tr-TR"/>
        </w:rPr>
        <w:t>suggested</w:t>
      </w:r>
      <w:proofErr w:type="spellEnd"/>
      <w:r w:rsidR="00C871AE" w:rsidRPr="00C871AE">
        <w:rPr>
          <w:lang w:val="tr-TR"/>
        </w:rPr>
        <w:t xml:space="preserve"> </w:t>
      </w:r>
      <w:proofErr w:type="spellStart"/>
      <w:r w:rsidR="00C871AE" w:rsidRPr="00C871AE">
        <w:rPr>
          <w:lang w:val="tr-TR"/>
        </w:rPr>
        <w:t>technique</w:t>
      </w:r>
      <w:proofErr w:type="spellEnd"/>
      <w:r w:rsidR="00C871AE" w:rsidRPr="00C871AE">
        <w:rPr>
          <w:lang w:val="tr-TR"/>
        </w:rPr>
        <w:t xml:space="preserve"> is </w:t>
      </w:r>
      <w:proofErr w:type="spellStart"/>
      <w:r w:rsidR="00C871AE" w:rsidRPr="00C871AE">
        <w:rPr>
          <w:lang w:val="tr-TR"/>
        </w:rPr>
        <w:t>examined</w:t>
      </w:r>
      <w:proofErr w:type="spellEnd"/>
      <w:r w:rsidR="00C871AE" w:rsidRPr="00C871AE">
        <w:rPr>
          <w:lang w:val="tr-TR"/>
        </w:rPr>
        <w:t xml:space="preserve"> </w:t>
      </w:r>
      <w:proofErr w:type="spellStart"/>
      <w:r w:rsidR="00C871AE" w:rsidRPr="00C871AE">
        <w:rPr>
          <w:lang w:val="tr-TR"/>
        </w:rPr>
        <w:t>for</w:t>
      </w:r>
      <w:proofErr w:type="spellEnd"/>
      <w:r w:rsidR="00C871AE" w:rsidRPr="00C871AE">
        <w:rPr>
          <w:lang w:val="tr-TR"/>
        </w:rPr>
        <w:t xml:space="preserve"> </w:t>
      </w:r>
      <w:proofErr w:type="spellStart"/>
      <w:r w:rsidR="00C871AE" w:rsidRPr="00C871AE">
        <w:rPr>
          <w:lang w:val="tr-TR"/>
        </w:rPr>
        <w:t>several</w:t>
      </w:r>
      <w:proofErr w:type="spellEnd"/>
      <w:r w:rsidR="00C871AE" w:rsidRPr="00C871AE">
        <w:rPr>
          <w:lang w:val="tr-TR"/>
        </w:rPr>
        <w:t xml:space="preserve"> </w:t>
      </w:r>
      <w:proofErr w:type="spellStart"/>
      <w:r w:rsidR="00C871AE" w:rsidRPr="00C871AE">
        <w:rPr>
          <w:lang w:val="tr-TR"/>
        </w:rPr>
        <w:t>scenarios</w:t>
      </w:r>
      <w:proofErr w:type="spellEnd"/>
      <w:r w:rsidR="00C871AE" w:rsidRPr="00C871AE">
        <w:rPr>
          <w:lang w:val="tr-TR"/>
        </w:rPr>
        <w:t>.</w:t>
      </w:r>
    </w:p>
    <w:p w14:paraId="0A0C8ADE" w14:textId="77777777" w:rsidR="000E786E" w:rsidRPr="003B4D5D" w:rsidRDefault="000E786E" w:rsidP="00EF5E88">
      <w:pPr>
        <w:pStyle w:val="Abstract"/>
        <w:spacing w:after="120"/>
        <w:rPr>
          <w:rFonts w:eastAsia="MS Mincho"/>
          <w:lang w:val="tr-TR"/>
        </w:rPr>
      </w:pPr>
    </w:p>
    <w:p w14:paraId="44FC6288" w14:textId="14D6BE74" w:rsidR="008A55B5" w:rsidRDefault="0072064C" w:rsidP="00AC6D54">
      <w:pPr>
        <w:pStyle w:val="keywords"/>
        <w:rPr>
          <w:rFonts w:eastAsia="MS Mincho"/>
          <w:noProof w:val="0"/>
          <w:lang w:val="tr-TR"/>
        </w:rPr>
      </w:pPr>
      <w:proofErr w:type="spellStart"/>
      <w:r w:rsidRPr="003B4D5D">
        <w:rPr>
          <w:rFonts w:eastAsia="MS Mincho"/>
          <w:noProof w:val="0"/>
          <w:lang w:val="tr-TR"/>
        </w:rPr>
        <w:t>Keywords</w:t>
      </w:r>
      <w:proofErr w:type="spellEnd"/>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proofErr w:type="spellStart"/>
      <w:r w:rsidR="003B0F24">
        <w:rPr>
          <w:rFonts w:eastAsia="MS Mincho"/>
          <w:noProof w:val="0"/>
          <w:lang w:val="tr-TR"/>
        </w:rPr>
        <w:t>Hostin</w:t>
      </w:r>
      <w:proofErr w:type="spellEnd"/>
      <w:r w:rsidR="003B0F24">
        <w:rPr>
          <w:rFonts w:eastAsia="MS Mincho"/>
          <w:noProof w:val="0"/>
          <w:lang w:val="tr-TR"/>
        </w:rPr>
        <w:t xml:space="preserve"> </w:t>
      </w:r>
      <w:proofErr w:type="spellStart"/>
      <w:r w:rsidR="003B0F24">
        <w:rPr>
          <w:rFonts w:eastAsia="MS Mincho"/>
          <w:noProof w:val="0"/>
          <w:lang w:val="tr-TR"/>
        </w:rPr>
        <w:t>Capacity</w:t>
      </w:r>
      <w:proofErr w:type="spellEnd"/>
      <w:r w:rsidR="003B0F24">
        <w:rPr>
          <w:rFonts w:eastAsia="MS Mincho"/>
          <w:noProof w:val="0"/>
          <w:lang w:val="tr-TR"/>
        </w:rPr>
        <w:t xml:space="preserve">, PV, Distribution </w:t>
      </w:r>
      <w:proofErr w:type="spellStart"/>
      <w:r w:rsidR="003B0F24">
        <w:rPr>
          <w:rFonts w:eastAsia="MS Mincho"/>
          <w:noProof w:val="0"/>
          <w:lang w:val="tr-TR"/>
        </w:rPr>
        <w:t>Feeders</w:t>
      </w:r>
      <w:proofErr w:type="spellEnd"/>
    </w:p>
    <w:p w14:paraId="3940341F" w14:textId="77777777" w:rsidR="000E786E" w:rsidRPr="003B4D5D" w:rsidRDefault="000E786E" w:rsidP="00AC6D54">
      <w:pPr>
        <w:pStyle w:val="keywords"/>
        <w:rPr>
          <w:rFonts w:eastAsia="MS Mincho"/>
          <w:noProof w:val="0"/>
          <w:lang w:val="tr-TR"/>
        </w:rPr>
      </w:pPr>
    </w:p>
    <w:p w14:paraId="215CC2F7" w14:textId="6F416CF0" w:rsidR="008A55B5" w:rsidRPr="003B4D5D" w:rsidRDefault="003B0F24" w:rsidP="001E46DE">
      <w:pPr>
        <w:pStyle w:val="Balk1"/>
        <w:jc w:val="both"/>
        <w:rPr>
          <w:rFonts w:eastAsia="MS Mincho"/>
          <w:noProof w:val="0"/>
          <w:lang w:val="tr-TR"/>
        </w:rPr>
      </w:pPr>
      <w:r>
        <w:t>INTRODUCTION</w:t>
      </w:r>
    </w:p>
    <w:p w14:paraId="2478ECF8" w14:textId="36CE02C8" w:rsidR="00FC4061" w:rsidRDefault="00FC4061" w:rsidP="00FC4061">
      <w:pPr>
        <w:pStyle w:val="GvdeMetni"/>
        <w:ind w:firstLine="0"/>
        <w:rPr>
          <w:lang w:val="tr-TR"/>
        </w:rPr>
      </w:pPr>
      <w:proofErr w:type="spellStart"/>
      <w:r w:rsidRPr="00FC4061">
        <w:rPr>
          <w:lang w:val="tr-TR"/>
        </w:rPr>
        <w:t>In</w:t>
      </w:r>
      <w:proofErr w:type="spellEnd"/>
      <w:r w:rsidRPr="00FC4061">
        <w:rPr>
          <w:lang w:val="tr-TR"/>
        </w:rPr>
        <w:t xml:space="preserve"> </w:t>
      </w:r>
      <w:proofErr w:type="spellStart"/>
      <w:r w:rsidRPr="00FC4061">
        <w:rPr>
          <w:lang w:val="tr-TR"/>
        </w:rPr>
        <w:t>the</w:t>
      </w:r>
      <w:proofErr w:type="spellEnd"/>
      <w:r w:rsidRPr="00FC4061">
        <w:rPr>
          <w:lang w:val="tr-TR"/>
        </w:rPr>
        <w:t xml:space="preserve"> </w:t>
      </w:r>
      <w:proofErr w:type="spellStart"/>
      <w:r w:rsidRPr="00FC4061">
        <w:rPr>
          <w:lang w:val="tr-TR"/>
        </w:rPr>
        <w:t>last</w:t>
      </w:r>
      <w:proofErr w:type="spellEnd"/>
      <w:r w:rsidRPr="00FC4061">
        <w:rPr>
          <w:lang w:val="tr-TR"/>
        </w:rPr>
        <w:t xml:space="preserve"> </w:t>
      </w:r>
      <w:proofErr w:type="spellStart"/>
      <w:r w:rsidRPr="00FC4061">
        <w:rPr>
          <w:lang w:val="tr-TR"/>
        </w:rPr>
        <w:t>decade</w:t>
      </w:r>
      <w:proofErr w:type="spellEnd"/>
      <w:r w:rsidRPr="00FC4061">
        <w:rPr>
          <w:lang w:val="tr-TR"/>
        </w:rPr>
        <w:t xml:space="preserve">, </w:t>
      </w:r>
      <w:proofErr w:type="spellStart"/>
      <w:r w:rsidRPr="00FC4061">
        <w:rPr>
          <w:lang w:val="tr-TR"/>
        </w:rPr>
        <w:t>distributed</w:t>
      </w:r>
      <w:proofErr w:type="spellEnd"/>
      <w:r w:rsidRPr="00FC4061">
        <w:rPr>
          <w:lang w:val="tr-TR"/>
        </w:rPr>
        <w:t xml:space="preserve"> </w:t>
      </w:r>
      <w:proofErr w:type="spellStart"/>
      <w:r w:rsidRPr="00FC4061">
        <w:rPr>
          <w:lang w:val="tr-TR"/>
        </w:rPr>
        <w:t>energy</w:t>
      </w:r>
      <w:proofErr w:type="spellEnd"/>
      <w:r w:rsidRPr="00FC4061">
        <w:rPr>
          <w:lang w:val="tr-TR"/>
        </w:rPr>
        <w:t xml:space="preserve"> </w:t>
      </w:r>
      <w:proofErr w:type="spellStart"/>
      <w:r w:rsidRPr="00FC4061">
        <w:rPr>
          <w:lang w:val="tr-TR"/>
        </w:rPr>
        <w:t>sources</w:t>
      </w:r>
      <w:proofErr w:type="spellEnd"/>
      <w:r w:rsidRPr="00FC4061">
        <w:rPr>
          <w:lang w:val="tr-TR"/>
        </w:rPr>
        <w:t xml:space="preserve"> (</w:t>
      </w:r>
      <w:proofErr w:type="spellStart"/>
      <w:r w:rsidRPr="00FC4061">
        <w:rPr>
          <w:lang w:val="tr-TR"/>
        </w:rPr>
        <w:t>DERs</w:t>
      </w:r>
      <w:proofErr w:type="spellEnd"/>
      <w:r w:rsidRPr="00FC4061">
        <w:rPr>
          <w:lang w:val="tr-TR"/>
        </w:rPr>
        <w:t xml:space="preserve">) </w:t>
      </w:r>
      <w:proofErr w:type="spellStart"/>
      <w:r w:rsidRPr="00FC4061">
        <w:rPr>
          <w:lang w:val="tr-TR"/>
        </w:rPr>
        <w:t>are</w:t>
      </w:r>
      <w:proofErr w:type="spellEnd"/>
      <w:r w:rsidRPr="00FC4061">
        <w:rPr>
          <w:lang w:val="tr-TR"/>
        </w:rPr>
        <w:t xml:space="preserve"> </w:t>
      </w:r>
      <w:proofErr w:type="spellStart"/>
      <w:r w:rsidRPr="00FC4061">
        <w:rPr>
          <w:lang w:val="tr-TR"/>
        </w:rPr>
        <w:t>commonly</w:t>
      </w:r>
      <w:proofErr w:type="spellEnd"/>
      <w:r w:rsidRPr="00FC4061">
        <w:rPr>
          <w:lang w:val="tr-TR"/>
        </w:rPr>
        <w:t xml:space="preserve"> </w:t>
      </w:r>
      <w:proofErr w:type="spellStart"/>
      <w:r w:rsidRPr="00FC4061">
        <w:rPr>
          <w:lang w:val="tr-TR"/>
        </w:rPr>
        <w:t>used</w:t>
      </w:r>
      <w:proofErr w:type="spellEnd"/>
      <w:r w:rsidRPr="00FC4061">
        <w:rPr>
          <w:lang w:val="tr-TR"/>
        </w:rPr>
        <w:t xml:space="preserve"> in </w:t>
      </w:r>
      <w:proofErr w:type="spellStart"/>
      <w:r w:rsidRPr="00FC4061">
        <w:rPr>
          <w:lang w:val="tr-TR"/>
        </w:rPr>
        <w:t>power</w:t>
      </w:r>
      <w:proofErr w:type="spellEnd"/>
      <w:r w:rsidRPr="00FC4061">
        <w:rPr>
          <w:lang w:val="tr-TR"/>
        </w:rPr>
        <w:t xml:space="preserve"> </w:t>
      </w:r>
      <w:proofErr w:type="spellStart"/>
      <w:r w:rsidRPr="00FC4061">
        <w:rPr>
          <w:lang w:val="tr-TR"/>
        </w:rPr>
        <w:t>distribution</w:t>
      </w:r>
      <w:proofErr w:type="spellEnd"/>
      <w:r w:rsidRPr="00FC4061">
        <w:rPr>
          <w:lang w:val="tr-TR"/>
        </w:rPr>
        <w:t xml:space="preserve"> </w:t>
      </w:r>
      <w:proofErr w:type="spellStart"/>
      <w:r w:rsidRPr="00FC4061">
        <w:rPr>
          <w:lang w:val="tr-TR"/>
        </w:rPr>
        <w:t>systems</w:t>
      </w:r>
      <w:proofErr w:type="spellEnd"/>
      <w:r w:rsidRPr="00FC4061">
        <w:rPr>
          <w:lang w:val="tr-TR"/>
        </w:rPr>
        <w:t>.</w:t>
      </w:r>
      <w:r>
        <w:rPr>
          <w:lang w:val="tr-TR"/>
        </w:rPr>
        <w:t xml:space="preserve"> </w:t>
      </w:r>
      <w:r w:rsidRPr="00FC4061">
        <w:rPr>
          <w:lang w:val="tr-TR"/>
        </w:rPr>
        <w:t xml:space="preserve">As </w:t>
      </w:r>
      <w:proofErr w:type="spellStart"/>
      <w:r w:rsidRPr="00FC4061">
        <w:rPr>
          <w:lang w:val="tr-TR"/>
        </w:rPr>
        <w:t>the</w:t>
      </w:r>
      <w:proofErr w:type="spellEnd"/>
      <w:r w:rsidRPr="00FC4061">
        <w:rPr>
          <w:lang w:val="tr-TR"/>
        </w:rPr>
        <w:t xml:space="preserve"> </w:t>
      </w:r>
      <w:proofErr w:type="spellStart"/>
      <w:r w:rsidRPr="00FC4061">
        <w:rPr>
          <w:lang w:val="tr-TR"/>
        </w:rPr>
        <w:t>price</w:t>
      </w:r>
      <w:proofErr w:type="spellEnd"/>
      <w:r w:rsidRPr="00FC4061">
        <w:rPr>
          <w:lang w:val="tr-TR"/>
        </w:rPr>
        <w:t xml:space="preserve"> of </w:t>
      </w:r>
      <w:proofErr w:type="spellStart"/>
      <w:r w:rsidRPr="00FC4061">
        <w:rPr>
          <w:lang w:val="tr-TR"/>
        </w:rPr>
        <w:t>renewable</w:t>
      </w:r>
      <w:proofErr w:type="spellEnd"/>
      <w:r w:rsidRPr="00FC4061">
        <w:rPr>
          <w:lang w:val="tr-TR"/>
        </w:rPr>
        <w:t xml:space="preserve"> </w:t>
      </w:r>
      <w:proofErr w:type="spellStart"/>
      <w:r w:rsidRPr="00FC4061">
        <w:rPr>
          <w:lang w:val="tr-TR"/>
        </w:rPr>
        <w:t>energy</w:t>
      </w:r>
      <w:proofErr w:type="spellEnd"/>
      <w:r w:rsidRPr="00FC4061">
        <w:rPr>
          <w:lang w:val="tr-TR"/>
        </w:rPr>
        <w:t xml:space="preserve"> </w:t>
      </w:r>
      <w:proofErr w:type="spellStart"/>
      <w:r w:rsidRPr="00FC4061">
        <w:rPr>
          <w:lang w:val="tr-TR"/>
        </w:rPr>
        <w:t>sources</w:t>
      </w:r>
      <w:proofErr w:type="spellEnd"/>
      <w:r w:rsidRPr="00FC4061">
        <w:rPr>
          <w:lang w:val="tr-TR"/>
        </w:rPr>
        <w:t xml:space="preserve"> has </w:t>
      </w:r>
      <w:proofErr w:type="spellStart"/>
      <w:r w:rsidRPr="00FC4061">
        <w:rPr>
          <w:lang w:val="tr-TR"/>
        </w:rPr>
        <w:t>decreased</w:t>
      </w:r>
      <w:proofErr w:type="spellEnd"/>
      <w:r w:rsidRPr="00FC4061">
        <w:rPr>
          <w:lang w:val="tr-TR"/>
        </w:rPr>
        <w:t xml:space="preserve">, </w:t>
      </w:r>
      <w:proofErr w:type="spellStart"/>
      <w:r w:rsidRPr="00FC4061">
        <w:rPr>
          <w:lang w:val="tr-TR"/>
        </w:rPr>
        <w:t>the</w:t>
      </w:r>
      <w:proofErr w:type="spellEnd"/>
      <w:r w:rsidRPr="00FC4061">
        <w:rPr>
          <w:lang w:val="tr-TR"/>
        </w:rPr>
        <w:t xml:space="preserve"> </w:t>
      </w:r>
      <w:proofErr w:type="spellStart"/>
      <w:r w:rsidRPr="00FC4061">
        <w:rPr>
          <w:lang w:val="tr-TR"/>
        </w:rPr>
        <w:t>integration</w:t>
      </w:r>
      <w:proofErr w:type="spellEnd"/>
      <w:r w:rsidRPr="00FC4061">
        <w:rPr>
          <w:lang w:val="tr-TR"/>
        </w:rPr>
        <w:t xml:space="preserve"> of </w:t>
      </w:r>
      <w:proofErr w:type="spellStart"/>
      <w:r w:rsidRPr="00FC4061">
        <w:rPr>
          <w:lang w:val="tr-TR"/>
        </w:rPr>
        <w:t>renewable</w:t>
      </w:r>
      <w:proofErr w:type="spellEnd"/>
      <w:r w:rsidRPr="00FC4061">
        <w:rPr>
          <w:lang w:val="tr-TR"/>
        </w:rPr>
        <w:t xml:space="preserve"> </w:t>
      </w:r>
      <w:proofErr w:type="spellStart"/>
      <w:r w:rsidRPr="00FC4061">
        <w:rPr>
          <w:lang w:val="tr-TR"/>
        </w:rPr>
        <w:t>energy</w:t>
      </w:r>
      <w:proofErr w:type="spellEnd"/>
      <w:r w:rsidRPr="00FC4061">
        <w:rPr>
          <w:lang w:val="tr-TR"/>
        </w:rPr>
        <w:t xml:space="preserve"> </w:t>
      </w:r>
      <w:proofErr w:type="spellStart"/>
      <w:r w:rsidRPr="00FC4061">
        <w:rPr>
          <w:lang w:val="tr-TR"/>
        </w:rPr>
        <w:t>sources</w:t>
      </w:r>
      <w:proofErr w:type="spellEnd"/>
      <w:r w:rsidRPr="00FC4061">
        <w:rPr>
          <w:lang w:val="tr-TR"/>
        </w:rPr>
        <w:t xml:space="preserve"> </w:t>
      </w:r>
      <w:proofErr w:type="spellStart"/>
      <w:r w:rsidRPr="00FC4061">
        <w:rPr>
          <w:lang w:val="tr-TR"/>
        </w:rPr>
        <w:t>into</w:t>
      </w:r>
      <w:proofErr w:type="spellEnd"/>
      <w:r w:rsidRPr="00FC4061">
        <w:rPr>
          <w:lang w:val="tr-TR"/>
        </w:rPr>
        <w:t xml:space="preserve"> </w:t>
      </w:r>
      <w:proofErr w:type="spellStart"/>
      <w:r w:rsidRPr="00FC4061">
        <w:rPr>
          <w:lang w:val="tr-TR"/>
        </w:rPr>
        <w:t>the</w:t>
      </w:r>
      <w:proofErr w:type="spellEnd"/>
      <w:r w:rsidRPr="00FC4061">
        <w:rPr>
          <w:lang w:val="tr-TR"/>
        </w:rPr>
        <w:t xml:space="preserve"> </w:t>
      </w:r>
      <w:proofErr w:type="spellStart"/>
      <w:r w:rsidRPr="00FC4061">
        <w:rPr>
          <w:lang w:val="tr-TR"/>
        </w:rPr>
        <w:t>distribution</w:t>
      </w:r>
      <w:proofErr w:type="spellEnd"/>
      <w:r w:rsidRPr="00FC4061">
        <w:rPr>
          <w:lang w:val="tr-TR"/>
        </w:rPr>
        <w:t xml:space="preserve"> </w:t>
      </w:r>
      <w:proofErr w:type="spellStart"/>
      <w:r w:rsidRPr="00FC4061">
        <w:rPr>
          <w:lang w:val="tr-TR"/>
        </w:rPr>
        <w:t>feeders</w:t>
      </w:r>
      <w:proofErr w:type="spellEnd"/>
      <w:r w:rsidRPr="00FC4061">
        <w:rPr>
          <w:lang w:val="tr-TR"/>
        </w:rPr>
        <w:t xml:space="preserve"> has </w:t>
      </w:r>
      <w:proofErr w:type="spellStart"/>
      <w:r w:rsidRPr="00FC4061">
        <w:rPr>
          <w:lang w:val="tr-TR"/>
        </w:rPr>
        <w:t>increased</w:t>
      </w:r>
      <w:proofErr w:type="spellEnd"/>
      <w:r w:rsidRPr="00FC4061">
        <w:rPr>
          <w:lang w:val="tr-TR"/>
        </w:rPr>
        <w:t xml:space="preserve"> </w:t>
      </w:r>
      <w:proofErr w:type="spellStart"/>
      <w:r w:rsidRPr="00FC4061">
        <w:rPr>
          <w:lang w:val="tr-TR"/>
        </w:rPr>
        <w:t>especially</w:t>
      </w:r>
      <w:proofErr w:type="spellEnd"/>
      <w:r w:rsidRPr="00FC4061">
        <w:rPr>
          <w:lang w:val="tr-TR"/>
        </w:rPr>
        <w:t xml:space="preserve"> PV </w:t>
      </w:r>
      <w:proofErr w:type="spellStart"/>
      <w:r w:rsidRPr="00FC4061">
        <w:rPr>
          <w:lang w:val="tr-TR"/>
        </w:rPr>
        <w:t>systems</w:t>
      </w:r>
      <w:proofErr w:type="spellEnd"/>
      <w:r w:rsidRPr="00FC4061">
        <w:rPr>
          <w:lang w:val="tr-TR"/>
        </w:rPr>
        <w:t>.</w:t>
      </w:r>
      <w:r w:rsidR="00DF0AE8">
        <w:rPr>
          <w:lang w:val="tr-TR"/>
        </w:rPr>
        <w:t xml:space="preserve"> </w:t>
      </w:r>
      <w:r w:rsidR="00DF0AE8" w:rsidRPr="00DF0AE8">
        <w:t xml:space="preserve">The decrease in PV panel cost has globally increased the PV installation in the distribution grid. The International Energy Agency (IEA) estimates that by 2050, solar photovoltaic (PV) power generation will contribute to 16% of </w:t>
      </w:r>
      <w:r w:rsidR="00C41645">
        <w:t>the world’s electricity</w:t>
      </w:r>
      <w:r w:rsidR="00DF0AE8" w:rsidRPr="00DF0AE8">
        <w:t>, with 20% of the total PV capacity from residential installations. Residential PV allows local power generation, consumption, and exporting of surplus energy to the distribution grid.</w:t>
      </w:r>
      <w:r w:rsidR="00DF0AE8">
        <w:rPr>
          <w:lang w:val="tr-TR"/>
        </w:rPr>
        <w:t xml:space="preserve"> </w:t>
      </w:r>
      <w:proofErr w:type="spellStart"/>
      <w:r w:rsidRPr="00FC4061">
        <w:rPr>
          <w:lang w:val="tr-TR"/>
        </w:rPr>
        <w:t>When</w:t>
      </w:r>
      <w:proofErr w:type="spellEnd"/>
      <w:r w:rsidRPr="00FC4061">
        <w:rPr>
          <w:lang w:val="tr-TR"/>
        </w:rPr>
        <w:t xml:space="preserve"> </w:t>
      </w:r>
      <w:proofErr w:type="spellStart"/>
      <w:r w:rsidRPr="00FC4061">
        <w:rPr>
          <w:lang w:val="tr-TR"/>
        </w:rPr>
        <w:t>we</w:t>
      </w:r>
      <w:proofErr w:type="spellEnd"/>
      <w:r w:rsidRPr="00FC4061">
        <w:rPr>
          <w:lang w:val="tr-TR"/>
        </w:rPr>
        <w:t xml:space="preserve"> </w:t>
      </w:r>
      <w:proofErr w:type="spellStart"/>
      <w:r w:rsidRPr="00FC4061">
        <w:rPr>
          <w:lang w:val="tr-TR"/>
        </w:rPr>
        <w:t>consider</w:t>
      </w:r>
      <w:proofErr w:type="spellEnd"/>
      <w:r w:rsidRPr="00FC4061">
        <w:rPr>
          <w:lang w:val="tr-TR"/>
        </w:rPr>
        <w:t xml:space="preserve"> </w:t>
      </w:r>
      <w:proofErr w:type="spellStart"/>
      <w:r w:rsidRPr="00FC4061">
        <w:rPr>
          <w:lang w:val="tr-TR"/>
        </w:rPr>
        <w:t>the</w:t>
      </w:r>
      <w:proofErr w:type="spellEnd"/>
      <w:r w:rsidRPr="00FC4061">
        <w:rPr>
          <w:lang w:val="tr-TR"/>
        </w:rPr>
        <w:t xml:space="preserve"> total </w:t>
      </w:r>
      <w:proofErr w:type="spellStart"/>
      <w:r w:rsidRPr="00FC4061">
        <w:rPr>
          <w:lang w:val="tr-TR"/>
        </w:rPr>
        <w:t>energy</w:t>
      </w:r>
      <w:proofErr w:type="spellEnd"/>
      <w:r w:rsidRPr="00FC4061">
        <w:rPr>
          <w:lang w:val="tr-TR"/>
        </w:rPr>
        <w:t xml:space="preserve"> </w:t>
      </w:r>
      <w:proofErr w:type="spellStart"/>
      <w:r w:rsidRPr="00FC4061">
        <w:rPr>
          <w:lang w:val="tr-TR"/>
        </w:rPr>
        <w:t>generation</w:t>
      </w:r>
      <w:proofErr w:type="spellEnd"/>
      <w:r w:rsidRPr="00FC4061">
        <w:rPr>
          <w:lang w:val="tr-TR"/>
        </w:rPr>
        <w:t xml:space="preserve"> </w:t>
      </w:r>
      <w:proofErr w:type="spellStart"/>
      <w:r w:rsidRPr="00FC4061">
        <w:rPr>
          <w:lang w:val="tr-TR"/>
        </w:rPr>
        <w:t>from</w:t>
      </w:r>
      <w:proofErr w:type="spellEnd"/>
      <w:r w:rsidRPr="00FC4061">
        <w:rPr>
          <w:lang w:val="tr-TR"/>
        </w:rPr>
        <w:t xml:space="preserve"> </w:t>
      </w:r>
      <w:proofErr w:type="spellStart"/>
      <w:r w:rsidRPr="00FC4061">
        <w:rPr>
          <w:lang w:val="tr-TR"/>
        </w:rPr>
        <w:t>renewable</w:t>
      </w:r>
      <w:proofErr w:type="spellEnd"/>
      <w:r w:rsidRPr="00FC4061">
        <w:rPr>
          <w:lang w:val="tr-TR"/>
        </w:rPr>
        <w:t xml:space="preserve"> </w:t>
      </w:r>
      <w:proofErr w:type="spellStart"/>
      <w:r w:rsidRPr="00FC4061">
        <w:rPr>
          <w:lang w:val="tr-TR"/>
        </w:rPr>
        <w:t>energy</w:t>
      </w:r>
      <w:proofErr w:type="spellEnd"/>
      <w:r w:rsidRPr="00FC4061">
        <w:rPr>
          <w:lang w:val="tr-TR"/>
        </w:rPr>
        <w:t xml:space="preserve"> is </w:t>
      </w:r>
      <w:proofErr w:type="spellStart"/>
      <w:r w:rsidRPr="00FC4061">
        <w:rPr>
          <w:lang w:val="tr-TR"/>
        </w:rPr>
        <w:t>increasing</w:t>
      </w:r>
      <w:proofErr w:type="spellEnd"/>
      <w:r w:rsidRPr="00FC4061">
        <w:rPr>
          <w:lang w:val="tr-TR"/>
        </w:rPr>
        <w:t xml:space="preserve"> </w:t>
      </w:r>
      <w:proofErr w:type="spellStart"/>
      <w:r w:rsidRPr="00FC4061">
        <w:rPr>
          <w:lang w:val="tr-TR"/>
        </w:rPr>
        <w:t>by</w:t>
      </w:r>
      <w:proofErr w:type="spellEnd"/>
      <w:r w:rsidRPr="00FC4061">
        <w:rPr>
          <w:lang w:val="tr-TR"/>
        </w:rPr>
        <w:t xml:space="preserve"> %2.9 </w:t>
      </w:r>
      <w:proofErr w:type="spellStart"/>
      <w:r w:rsidRPr="00FC4061">
        <w:rPr>
          <w:lang w:val="tr-TR"/>
        </w:rPr>
        <w:t>every</w:t>
      </w:r>
      <w:proofErr w:type="spellEnd"/>
      <w:r w:rsidRPr="00FC4061">
        <w:rPr>
          <w:lang w:val="tr-TR"/>
        </w:rPr>
        <w:t xml:space="preserve"> </w:t>
      </w:r>
      <w:proofErr w:type="spellStart"/>
      <w:r w:rsidRPr="00FC4061">
        <w:rPr>
          <w:lang w:val="tr-TR"/>
        </w:rPr>
        <w:t>year</w:t>
      </w:r>
      <w:proofErr w:type="spellEnd"/>
      <w:r w:rsidRPr="00FC4061">
        <w:rPr>
          <w:lang w:val="tr-TR"/>
        </w:rPr>
        <w:t xml:space="preserve"> </w:t>
      </w:r>
      <w:r w:rsidRPr="00FC4061">
        <w:rPr>
          <w:b/>
          <w:bCs/>
          <w:lang w:val="tr-TR"/>
        </w:rPr>
        <w:t xml:space="preserve">[1] </w:t>
      </w:r>
      <w:r w:rsidR="00AC6EAF">
        <w:rPr>
          <w:b/>
          <w:bCs/>
          <w:lang w:val="tr-TR"/>
        </w:rPr>
        <w:t>[</w:t>
      </w:r>
      <w:proofErr w:type="gramStart"/>
      <w:r w:rsidR="00AC6EAF">
        <w:rPr>
          <w:b/>
          <w:bCs/>
          <w:lang w:val="tr-TR"/>
        </w:rPr>
        <w:t>2]</w:t>
      </w:r>
      <w:proofErr w:type="spellStart"/>
      <w:r w:rsidRPr="00FC4061">
        <w:rPr>
          <w:lang w:val="tr-TR"/>
        </w:rPr>
        <w:t>Therefore</w:t>
      </w:r>
      <w:proofErr w:type="spellEnd"/>
      <w:proofErr w:type="gramEnd"/>
      <w:r w:rsidRPr="00FC4061">
        <w:rPr>
          <w:lang w:val="tr-TR"/>
        </w:rPr>
        <w:t xml:space="preserve">, </w:t>
      </w:r>
      <w:proofErr w:type="spellStart"/>
      <w:r w:rsidRPr="00FC4061">
        <w:rPr>
          <w:lang w:val="tr-TR"/>
        </w:rPr>
        <w:t>such</w:t>
      </w:r>
      <w:proofErr w:type="spellEnd"/>
      <w:r w:rsidRPr="00FC4061">
        <w:rPr>
          <w:lang w:val="tr-TR"/>
        </w:rPr>
        <w:t xml:space="preserve"> </w:t>
      </w:r>
      <w:proofErr w:type="spellStart"/>
      <w:r w:rsidRPr="00FC4061">
        <w:rPr>
          <w:lang w:val="tr-TR"/>
        </w:rPr>
        <w:t>applications</w:t>
      </w:r>
      <w:proofErr w:type="spellEnd"/>
      <w:r w:rsidRPr="00FC4061">
        <w:rPr>
          <w:lang w:val="tr-TR"/>
        </w:rPr>
        <w:t xml:space="preserve"> </w:t>
      </w:r>
      <w:proofErr w:type="spellStart"/>
      <w:r w:rsidRPr="00FC4061">
        <w:rPr>
          <w:lang w:val="tr-TR"/>
        </w:rPr>
        <w:t>are</w:t>
      </w:r>
      <w:proofErr w:type="spellEnd"/>
      <w:r w:rsidRPr="00FC4061">
        <w:rPr>
          <w:lang w:val="tr-TR"/>
        </w:rPr>
        <w:t xml:space="preserve"> </w:t>
      </w:r>
      <w:proofErr w:type="spellStart"/>
      <w:r w:rsidRPr="00FC4061">
        <w:rPr>
          <w:lang w:val="tr-TR"/>
        </w:rPr>
        <w:t>important</w:t>
      </w:r>
      <w:proofErr w:type="spellEnd"/>
      <w:r w:rsidRPr="00FC4061">
        <w:rPr>
          <w:lang w:val="tr-TR"/>
        </w:rPr>
        <w:t xml:space="preserve"> </w:t>
      </w:r>
      <w:proofErr w:type="spellStart"/>
      <w:r w:rsidRPr="00FC4061">
        <w:rPr>
          <w:lang w:val="tr-TR"/>
        </w:rPr>
        <w:t>for</w:t>
      </w:r>
      <w:proofErr w:type="spellEnd"/>
      <w:r w:rsidRPr="00FC4061">
        <w:rPr>
          <w:lang w:val="tr-TR"/>
        </w:rPr>
        <w:t xml:space="preserve"> </w:t>
      </w:r>
      <w:proofErr w:type="spellStart"/>
      <w:r w:rsidRPr="00FC4061">
        <w:rPr>
          <w:lang w:val="tr-TR"/>
        </w:rPr>
        <w:t>the</w:t>
      </w:r>
      <w:proofErr w:type="spellEnd"/>
      <w:r w:rsidRPr="00FC4061">
        <w:rPr>
          <w:lang w:val="tr-TR"/>
        </w:rPr>
        <w:t xml:space="preserve"> </w:t>
      </w:r>
      <w:proofErr w:type="spellStart"/>
      <w:r w:rsidRPr="00FC4061">
        <w:rPr>
          <w:lang w:val="tr-TR"/>
        </w:rPr>
        <w:t>future</w:t>
      </w:r>
      <w:proofErr w:type="spellEnd"/>
      <w:r w:rsidRPr="00FC4061">
        <w:rPr>
          <w:lang w:val="tr-TR"/>
        </w:rPr>
        <w:t>.</w:t>
      </w:r>
    </w:p>
    <w:p w14:paraId="730C83EC" w14:textId="28A0139D" w:rsidR="00DF0AE8" w:rsidRDefault="00DF0AE8" w:rsidP="00FC4061">
      <w:pPr>
        <w:pStyle w:val="GvdeMetni"/>
        <w:ind w:firstLine="0"/>
        <w:rPr>
          <w:lang w:val="tr-TR"/>
        </w:rPr>
      </w:pPr>
      <w:r>
        <w:t xml:space="preserve">Recent </w:t>
      </w:r>
      <w:r w:rsidR="00C41645">
        <w:t>research</w:t>
      </w:r>
      <w:r>
        <w:t xml:space="preserve"> </w:t>
      </w:r>
      <w:r w:rsidR="00C41645">
        <w:t>has</w:t>
      </w:r>
      <w:r>
        <w:t xml:space="preserve"> been focused on increasing the hosting capacity of distribution </w:t>
      </w:r>
      <w:r w:rsidR="00C41645">
        <w:t>feeders</w:t>
      </w:r>
      <w:r>
        <w:t xml:space="preserve"> by </w:t>
      </w:r>
      <w:r w:rsidR="00C41645">
        <w:t>some</w:t>
      </w:r>
      <w:r>
        <w:t xml:space="preserve"> operational changes or upgrades in the grid.</w:t>
      </w:r>
      <w:r>
        <w:rPr>
          <w:lang w:val="tr-TR"/>
        </w:rPr>
        <w:t xml:space="preserve"> </w:t>
      </w:r>
      <w:r w:rsidR="001E46DE" w:rsidRPr="001E46DE">
        <w:rPr>
          <w:lang w:val="tr-TR"/>
        </w:rPr>
        <w:t>H</w:t>
      </w:r>
      <w:proofErr w:type="spellStart"/>
      <w:r w:rsidR="001E46DE" w:rsidRPr="001E46DE">
        <w:t>osting</w:t>
      </w:r>
      <w:proofErr w:type="spellEnd"/>
      <w:r w:rsidR="001E46DE" w:rsidRPr="001E46DE">
        <w:t xml:space="preserve"> capacity is defined as the total PV that can be injected on a given feeder </w:t>
      </w:r>
      <w:proofErr w:type="gramStart"/>
      <w:r w:rsidR="001E46DE" w:rsidRPr="001E46DE">
        <w:t xml:space="preserve">without </w:t>
      </w:r>
      <w:r w:rsidR="001E46DE" w:rsidRPr="001E46DE">
        <w:rPr>
          <w:lang w:val="tr-TR"/>
        </w:rPr>
        <w:t xml:space="preserve"> </w:t>
      </w:r>
      <w:r w:rsidR="001E46DE" w:rsidRPr="001E46DE">
        <w:t>any</w:t>
      </w:r>
      <w:proofErr w:type="gramEnd"/>
      <w:r w:rsidR="001E46DE" w:rsidRPr="001E46DE">
        <w:t xml:space="preserve"> feeder upgrades or modifications</w:t>
      </w:r>
      <w:r w:rsidR="001E46DE" w:rsidRPr="001E46DE">
        <w:rPr>
          <w:lang w:val="tr-TR"/>
        </w:rPr>
        <w:t>.</w:t>
      </w:r>
      <w:r w:rsidR="001E46DE">
        <w:rPr>
          <w:lang w:val="tr-TR"/>
        </w:rPr>
        <w:t xml:space="preserve"> </w:t>
      </w:r>
      <w:proofErr w:type="spellStart"/>
      <w:r w:rsidR="001E46DE" w:rsidRPr="001E46DE">
        <w:rPr>
          <w:lang w:val="tr-TR"/>
        </w:rPr>
        <w:t>Hosting</w:t>
      </w:r>
      <w:proofErr w:type="spellEnd"/>
      <w:r w:rsidR="001E46DE" w:rsidRPr="001E46DE">
        <w:rPr>
          <w:lang w:val="tr-TR"/>
        </w:rPr>
        <w:t xml:space="preserve"> </w:t>
      </w:r>
      <w:r w:rsidR="001E46DE" w:rsidRPr="001E46DE">
        <w:t xml:space="preserve">capacity is referred </w:t>
      </w:r>
      <w:r w:rsidR="00C41645">
        <w:t xml:space="preserve">to </w:t>
      </w:r>
      <w:r w:rsidR="001E46DE" w:rsidRPr="001E46DE">
        <w:t>as the maximum PV size that does not violate any operating constraints when PVs are connected to any valid node on the feeder.</w:t>
      </w:r>
      <w:r w:rsidR="001E46DE" w:rsidRPr="001E46DE">
        <w:rPr>
          <w:lang w:val="tr-TR"/>
        </w:rPr>
        <w:t xml:space="preserve"> </w:t>
      </w:r>
      <w:r w:rsidR="001E46DE" w:rsidRPr="001E46DE">
        <w:rPr>
          <w:b/>
          <w:bCs/>
          <w:lang w:val="tr-TR"/>
        </w:rPr>
        <w:t>[</w:t>
      </w:r>
      <w:r w:rsidR="00AC6EAF">
        <w:rPr>
          <w:b/>
          <w:bCs/>
          <w:lang w:val="tr-TR"/>
        </w:rPr>
        <w:t>3</w:t>
      </w:r>
      <w:r w:rsidR="001E46DE" w:rsidRPr="001E46DE">
        <w:rPr>
          <w:b/>
          <w:bCs/>
          <w:lang w:val="tr-TR"/>
        </w:rPr>
        <w:t>]</w:t>
      </w:r>
      <w:r w:rsidR="001E46DE">
        <w:rPr>
          <w:lang w:val="tr-TR"/>
        </w:rPr>
        <w:t xml:space="preserve"> </w:t>
      </w:r>
      <w:r w:rsidR="00C41645">
        <w:t>These</w:t>
      </w:r>
      <w:r w:rsidR="001E46DE" w:rsidRPr="001E46DE">
        <w:t xml:space="preserve"> definitions of hosting capacity </w:t>
      </w:r>
      <w:r w:rsidR="00C41645">
        <w:t>incorporate</w:t>
      </w:r>
      <w:r w:rsidR="001E46DE" w:rsidRPr="001E46DE">
        <w:t xml:space="preserve"> that the voltage magnitudes at load nodes in the feeder should remain within the ANSI standards.</w:t>
      </w:r>
      <w:r w:rsidR="001E46DE" w:rsidRPr="001E46DE">
        <w:rPr>
          <w:lang w:val="tr-TR"/>
        </w:rPr>
        <w:t xml:space="preserve"> </w:t>
      </w:r>
      <w:r w:rsidR="001E46DE" w:rsidRPr="001E46DE">
        <w:t>The research shows that the maximum permissible voltage rise is 1.</w:t>
      </w:r>
      <w:r w:rsidR="001E46DE" w:rsidRPr="001E46DE">
        <w:rPr>
          <w:lang w:val="tr-TR"/>
        </w:rPr>
        <w:t>05</w:t>
      </w:r>
      <w:r w:rsidR="001E46DE" w:rsidRPr="001E46DE">
        <w:t xml:space="preserve"> </w:t>
      </w:r>
      <w:proofErr w:type="spellStart"/>
      <w:r w:rsidR="001E46DE" w:rsidRPr="001E46DE">
        <w:t>p.u</w:t>
      </w:r>
      <w:proofErr w:type="spellEnd"/>
      <w:r w:rsidR="001E46DE" w:rsidRPr="001E46DE">
        <w:t xml:space="preserve">. in </w:t>
      </w:r>
      <w:r w:rsidR="00C41645">
        <w:t xml:space="preserve">the </w:t>
      </w:r>
      <w:r w:rsidR="001E46DE" w:rsidRPr="001E46DE">
        <w:rPr>
          <w:lang w:val="tr-TR"/>
        </w:rPr>
        <w:t xml:space="preserve">USA </w:t>
      </w:r>
      <w:proofErr w:type="spellStart"/>
      <w:r w:rsidR="001E46DE" w:rsidRPr="001E46DE">
        <w:rPr>
          <w:lang w:val="tr-TR"/>
        </w:rPr>
        <w:t>according</w:t>
      </w:r>
      <w:proofErr w:type="spellEnd"/>
      <w:r w:rsidR="001E46DE" w:rsidRPr="001E46DE">
        <w:rPr>
          <w:lang w:val="tr-TR"/>
        </w:rPr>
        <w:t xml:space="preserve"> </w:t>
      </w:r>
      <w:proofErr w:type="spellStart"/>
      <w:r w:rsidR="001E46DE" w:rsidRPr="001E46DE">
        <w:rPr>
          <w:lang w:val="tr-TR"/>
        </w:rPr>
        <w:t>to</w:t>
      </w:r>
      <w:proofErr w:type="spellEnd"/>
      <w:r w:rsidR="001E46DE" w:rsidRPr="001E46DE">
        <w:rPr>
          <w:lang w:val="tr-TR"/>
        </w:rPr>
        <w:t xml:space="preserve"> ANSI </w:t>
      </w:r>
      <w:proofErr w:type="spellStart"/>
      <w:r w:rsidR="00C41645">
        <w:rPr>
          <w:lang w:val="tr-TR"/>
        </w:rPr>
        <w:t>standards</w:t>
      </w:r>
      <w:proofErr w:type="spellEnd"/>
      <w:r w:rsidR="001E46DE" w:rsidRPr="001E46DE">
        <w:rPr>
          <w:lang w:val="tr-TR"/>
        </w:rPr>
        <w:t>.</w:t>
      </w:r>
      <w:r w:rsidR="001E46DE" w:rsidRPr="001E46DE">
        <w:rPr>
          <w:b/>
          <w:bCs/>
          <w:lang w:val="tr-TR"/>
        </w:rPr>
        <w:t>[</w:t>
      </w:r>
      <w:r w:rsidR="00AC6EAF">
        <w:rPr>
          <w:b/>
          <w:bCs/>
          <w:lang w:val="tr-TR"/>
        </w:rPr>
        <w:t>4</w:t>
      </w:r>
      <w:r w:rsidR="001E46DE" w:rsidRPr="001E46DE">
        <w:rPr>
          <w:b/>
          <w:bCs/>
          <w:lang w:val="tr-TR"/>
        </w:rPr>
        <w:t>]</w:t>
      </w:r>
      <w:r>
        <w:rPr>
          <w:lang w:val="tr-TR"/>
        </w:rPr>
        <w:t xml:space="preserve"> </w:t>
      </w:r>
    </w:p>
    <w:p w14:paraId="503C241A" w14:textId="77777777" w:rsidR="001B041D" w:rsidRDefault="001B041D" w:rsidP="001B041D">
      <w:pPr>
        <w:pStyle w:val="GvdeMetni"/>
        <w:keepNext/>
        <w:ind w:firstLine="0"/>
        <w:jc w:val="center"/>
      </w:pPr>
      <w:r w:rsidRPr="001B041D">
        <w:rPr>
          <w:noProof/>
        </w:rPr>
        <w:drawing>
          <wp:inline distT="0" distB="0" distL="0" distR="0" wp14:anchorId="58140FB8" wp14:editId="3A304C23">
            <wp:extent cx="2342270" cy="1749731"/>
            <wp:effectExtent l="0" t="0" r="1270" b="3175"/>
            <wp:docPr id="7" name="İçerik Yer Tutucusu 6">
              <a:extLst xmlns:a="http://schemas.openxmlformats.org/drawingml/2006/main">
                <a:ext uri="{FF2B5EF4-FFF2-40B4-BE49-F238E27FC236}">
                  <a16:creationId xmlns:a16="http://schemas.microsoft.com/office/drawing/2014/main" id="{9D23FCF5-D443-4B53-08FB-FEDF0C039B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çerik Yer Tutucusu 6">
                      <a:extLst>
                        <a:ext uri="{FF2B5EF4-FFF2-40B4-BE49-F238E27FC236}">
                          <a16:creationId xmlns:a16="http://schemas.microsoft.com/office/drawing/2014/main" id="{9D23FCF5-D443-4B53-08FB-FEDF0C039BBC}"/>
                        </a:ext>
                      </a:extLst>
                    </pic:cNvPr>
                    <pic:cNvPicPr>
                      <a:picLocks noChangeAspect="1"/>
                    </pic:cNvPicPr>
                  </pic:nvPicPr>
                  <pic:blipFill>
                    <a:blip r:embed="rId8"/>
                    <a:stretch>
                      <a:fillRect/>
                    </a:stretch>
                  </pic:blipFill>
                  <pic:spPr>
                    <a:xfrm>
                      <a:off x="0" y="0"/>
                      <a:ext cx="2355864" cy="1759886"/>
                    </a:xfrm>
                    <a:prstGeom prst="rect">
                      <a:avLst/>
                    </a:prstGeom>
                  </pic:spPr>
                </pic:pic>
              </a:graphicData>
            </a:graphic>
          </wp:inline>
        </w:drawing>
      </w:r>
    </w:p>
    <w:p w14:paraId="58515FAA" w14:textId="09EBC495" w:rsidR="001B041D" w:rsidRDefault="001B041D" w:rsidP="001B041D">
      <w:pPr>
        <w:pStyle w:val="ResimYazs"/>
        <w:jc w:val="both"/>
        <w:rPr>
          <w:lang w:val="tr-TR"/>
        </w:rPr>
      </w:pPr>
      <w:r>
        <w:t xml:space="preserve">Figure </w:t>
      </w:r>
      <w:fldSimple w:instr=" SEQ Şekil \* ARABIC ">
        <w:r>
          <w:rPr>
            <w:noProof/>
          </w:rPr>
          <w:t>1</w:t>
        </w:r>
      </w:fldSimple>
      <w:r>
        <w:t>/</w:t>
      </w:r>
      <w:r w:rsidRPr="0009122A">
        <w:t xml:space="preserve"> Percentages of the statistics of PV HC limiting factors in </w:t>
      </w:r>
      <w:r w:rsidR="00C41645">
        <w:t xml:space="preserve">the </w:t>
      </w:r>
      <w:r w:rsidRPr="0009122A">
        <w:t>literature showing voltage</w:t>
      </w:r>
    </w:p>
    <w:p w14:paraId="560CDA6C" w14:textId="601AF717" w:rsidR="00260F8E" w:rsidRDefault="00DF0AE8" w:rsidP="00AC6EAF">
      <w:pPr>
        <w:pStyle w:val="GvdeMetni"/>
        <w:ind w:firstLine="0"/>
        <w:rPr>
          <w:lang w:val="tr-TR"/>
        </w:rPr>
      </w:pPr>
      <w:r>
        <w:t xml:space="preserve">The maximum PV capacity that can be integrated </w:t>
      </w:r>
      <w:r w:rsidR="00C41645">
        <w:t>into</w:t>
      </w:r>
      <w:r>
        <w:t xml:space="preserve"> a distribution grid without experiencing any grid concern is called the PV hosting capacity limit. In this section, the hosting capacity is derived </w:t>
      </w:r>
      <w:r w:rsidR="00C41645">
        <w:t>concerning</w:t>
      </w:r>
      <w:r>
        <w:t xml:space="preserve"> overvoltage concern. </w:t>
      </w:r>
      <w:r w:rsidRPr="00DF0AE8">
        <w:t xml:space="preserve">The research shows that the maximum permissible voltage rise is 1.1 </w:t>
      </w:r>
      <w:proofErr w:type="spellStart"/>
      <w:r w:rsidRPr="00DF0AE8">
        <w:t>p.u</w:t>
      </w:r>
      <w:proofErr w:type="spellEnd"/>
      <w:r w:rsidRPr="00DF0AE8">
        <w:t xml:space="preserve">. in Australia, Italy, Finland, Cyprus, South Africa, and the UK followed by 1.06 </w:t>
      </w:r>
      <w:proofErr w:type="spellStart"/>
      <w:r w:rsidRPr="00DF0AE8">
        <w:t>p.u</w:t>
      </w:r>
      <w:proofErr w:type="spellEnd"/>
      <w:r w:rsidRPr="00DF0AE8">
        <w:t xml:space="preserve">. as permitted by Sri Lanka and Qatar. The 1.05 </w:t>
      </w:r>
      <w:proofErr w:type="spellStart"/>
      <w:r w:rsidRPr="00DF0AE8">
        <w:t>p.u</w:t>
      </w:r>
      <w:proofErr w:type="spellEnd"/>
      <w:r w:rsidRPr="00DF0AE8">
        <w:t xml:space="preserve">. voltage rise standard is noticed in the USA, Sweden, Denmark, the Philippines, and Indonesia and the most restrictive voltage rise of 1.03 </w:t>
      </w:r>
      <w:proofErr w:type="spellStart"/>
      <w:r w:rsidRPr="00DF0AE8">
        <w:t>p.u</w:t>
      </w:r>
      <w:proofErr w:type="spellEnd"/>
      <w:r w:rsidRPr="00DF0AE8">
        <w:t>. is practiced in Germany, Switzerland, and China.</w:t>
      </w:r>
    </w:p>
    <w:p w14:paraId="73A5F9FF" w14:textId="67F1CDDD" w:rsidR="00DF0AE8" w:rsidRDefault="00FC4061" w:rsidP="00DF0AE8">
      <w:pPr>
        <w:pStyle w:val="GvdeMetni"/>
        <w:ind w:firstLine="0"/>
        <w:rPr>
          <w:lang w:val="tr-TR"/>
        </w:rPr>
      </w:pPr>
      <w:proofErr w:type="spellStart"/>
      <w:r w:rsidRPr="00FC4061">
        <w:rPr>
          <w:lang w:val="tr-TR"/>
        </w:rPr>
        <w:t>In</w:t>
      </w:r>
      <w:proofErr w:type="spellEnd"/>
      <w:r w:rsidRPr="00FC4061">
        <w:rPr>
          <w:lang w:val="tr-TR"/>
        </w:rPr>
        <w:t xml:space="preserve"> </w:t>
      </w:r>
      <w:proofErr w:type="spellStart"/>
      <w:r w:rsidRPr="00FC4061">
        <w:rPr>
          <w:lang w:val="tr-TR"/>
        </w:rPr>
        <w:t>light</w:t>
      </w:r>
      <w:proofErr w:type="spellEnd"/>
      <w:r w:rsidRPr="00FC4061">
        <w:rPr>
          <w:lang w:val="tr-TR"/>
        </w:rPr>
        <w:t xml:space="preserve"> of </w:t>
      </w:r>
      <w:proofErr w:type="spellStart"/>
      <w:r w:rsidRPr="00FC4061">
        <w:rPr>
          <w:lang w:val="tr-TR"/>
        </w:rPr>
        <w:t>the</w:t>
      </w:r>
      <w:proofErr w:type="spellEnd"/>
      <w:r w:rsidRPr="00FC4061">
        <w:rPr>
          <w:lang w:val="tr-TR"/>
        </w:rPr>
        <w:t xml:space="preserve"> </w:t>
      </w:r>
      <w:proofErr w:type="spellStart"/>
      <w:r w:rsidRPr="00FC4061">
        <w:rPr>
          <w:lang w:val="tr-TR"/>
        </w:rPr>
        <w:t>information</w:t>
      </w:r>
      <w:proofErr w:type="spellEnd"/>
      <w:r w:rsidRPr="00FC4061">
        <w:rPr>
          <w:lang w:val="tr-TR"/>
        </w:rPr>
        <w:t xml:space="preserve"> </w:t>
      </w:r>
      <w:proofErr w:type="spellStart"/>
      <w:r w:rsidRPr="00FC4061">
        <w:rPr>
          <w:lang w:val="tr-TR"/>
        </w:rPr>
        <w:t>above</w:t>
      </w:r>
      <w:proofErr w:type="spellEnd"/>
      <w:r w:rsidRPr="00FC4061">
        <w:rPr>
          <w:lang w:val="tr-TR"/>
        </w:rPr>
        <w:t xml:space="preserve">, it is </w:t>
      </w:r>
      <w:proofErr w:type="spellStart"/>
      <w:r w:rsidRPr="00FC4061">
        <w:rPr>
          <w:lang w:val="tr-TR"/>
        </w:rPr>
        <w:t>important</w:t>
      </w:r>
      <w:proofErr w:type="spellEnd"/>
      <w:r w:rsidRPr="00FC4061">
        <w:rPr>
          <w:lang w:val="tr-TR"/>
        </w:rPr>
        <w:t xml:space="preserve"> </w:t>
      </w:r>
      <w:proofErr w:type="spellStart"/>
      <w:r w:rsidRPr="00FC4061">
        <w:rPr>
          <w:lang w:val="tr-TR"/>
        </w:rPr>
        <w:t>to</w:t>
      </w:r>
      <w:proofErr w:type="spellEnd"/>
      <w:r w:rsidRPr="00FC4061">
        <w:rPr>
          <w:lang w:val="tr-TR"/>
        </w:rPr>
        <w:t xml:space="preserve"> </w:t>
      </w:r>
      <w:proofErr w:type="spellStart"/>
      <w:r w:rsidRPr="00FC4061">
        <w:rPr>
          <w:lang w:val="tr-TR"/>
        </w:rPr>
        <w:t>determine</w:t>
      </w:r>
      <w:proofErr w:type="spellEnd"/>
      <w:r w:rsidRPr="00FC4061">
        <w:rPr>
          <w:lang w:val="tr-TR"/>
        </w:rPr>
        <w:t xml:space="preserve"> </w:t>
      </w:r>
      <w:proofErr w:type="spellStart"/>
      <w:r w:rsidRPr="00FC4061">
        <w:rPr>
          <w:lang w:val="tr-TR"/>
        </w:rPr>
        <w:t>the</w:t>
      </w:r>
      <w:proofErr w:type="spellEnd"/>
      <w:r w:rsidRPr="00FC4061">
        <w:rPr>
          <w:lang w:val="tr-TR"/>
        </w:rPr>
        <w:t xml:space="preserve"> </w:t>
      </w:r>
      <w:proofErr w:type="spellStart"/>
      <w:r w:rsidRPr="00FC4061">
        <w:rPr>
          <w:lang w:val="tr-TR"/>
        </w:rPr>
        <w:t>maximum</w:t>
      </w:r>
      <w:proofErr w:type="spellEnd"/>
      <w:r w:rsidRPr="00FC4061">
        <w:rPr>
          <w:lang w:val="tr-TR"/>
        </w:rPr>
        <w:t xml:space="preserve"> </w:t>
      </w:r>
      <w:proofErr w:type="spellStart"/>
      <w:r w:rsidRPr="00FC4061">
        <w:rPr>
          <w:lang w:val="tr-TR"/>
        </w:rPr>
        <w:t>permissible</w:t>
      </w:r>
      <w:proofErr w:type="spellEnd"/>
      <w:r w:rsidRPr="00FC4061">
        <w:rPr>
          <w:lang w:val="tr-TR"/>
        </w:rPr>
        <w:t xml:space="preserve"> PV </w:t>
      </w:r>
      <w:proofErr w:type="spellStart"/>
      <w:r w:rsidRPr="00FC4061">
        <w:rPr>
          <w:lang w:val="tr-TR"/>
        </w:rPr>
        <w:t>power</w:t>
      </w:r>
      <w:proofErr w:type="spellEnd"/>
      <w:r w:rsidRPr="00FC4061">
        <w:rPr>
          <w:lang w:val="tr-TR"/>
        </w:rPr>
        <w:t xml:space="preserve"> </w:t>
      </w:r>
      <w:proofErr w:type="spellStart"/>
      <w:r w:rsidRPr="00FC4061">
        <w:rPr>
          <w:lang w:val="tr-TR"/>
        </w:rPr>
        <w:t>injection</w:t>
      </w:r>
      <w:proofErr w:type="spellEnd"/>
      <w:r w:rsidRPr="00FC4061">
        <w:rPr>
          <w:lang w:val="tr-TR"/>
        </w:rPr>
        <w:t xml:space="preserve"> </w:t>
      </w:r>
      <w:proofErr w:type="spellStart"/>
      <w:r w:rsidRPr="00FC4061">
        <w:rPr>
          <w:lang w:val="tr-TR"/>
        </w:rPr>
        <w:t>into</w:t>
      </w:r>
      <w:proofErr w:type="spellEnd"/>
      <w:r w:rsidRPr="00FC4061">
        <w:rPr>
          <w:lang w:val="tr-TR"/>
        </w:rPr>
        <w:t xml:space="preserve"> </w:t>
      </w:r>
      <w:proofErr w:type="spellStart"/>
      <w:r w:rsidRPr="00FC4061">
        <w:rPr>
          <w:lang w:val="tr-TR"/>
        </w:rPr>
        <w:t>the</w:t>
      </w:r>
      <w:proofErr w:type="spellEnd"/>
      <w:r w:rsidRPr="00FC4061">
        <w:rPr>
          <w:lang w:val="tr-TR"/>
        </w:rPr>
        <w:t xml:space="preserve"> </w:t>
      </w:r>
      <w:proofErr w:type="spellStart"/>
      <w:r w:rsidRPr="00FC4061">
        <w:rPr>
          <w:lang w:val="tr-TR"/>
        </w:rPr>
        <w:t>feeders</w:t>
      </w:r>
      <w:proofErr w:type="spellEnd"/>
      <w:r w:rsidRPr="00FC4061">
        <w:rPr>
          <w:lang w:val="tr-TR"/>
        </w:rPr>
        <w:t>.</w:t>
      </w:r>
    </w:p>
    <w:p w14:paraId="297F0FFF" w14:textId="77777777" w:rsidR="00AC6EAF" w:rsidRDefault="00AC6EAF" w:rsidP="00DF0AE8">
      <w:pPr>
        <w:pStyle w:val="GvdeMetni"/>
        <w:ind w:firstLine="0"/>
        <w:rPr>
          <w:lang w:val="tr-TR"/>
        </w:rPr>
      </w:pPr>
    </w:p>
    <w:p w14:paraId="33552C7C" w14:textId="0A9578B1" w:rsidR="00260F8E" w:rsidRDefault="00AC6EAF" w:rsidP="00AC6EAF">
      <w:pPr>
        <w:pStyle w:val="Balk1"/>
      </w:pPr>
      <w:r>
        <w:t>DATA PREPARATION</w:t>
      </w:r>
    </w:p>
    <w:p w14:paraId="2343C39E" w14:textId="72BE2E6B" w:rsidR="00AC6EAF" w:rsidRDefault="00AC6EAF" w:rsidP="00AC6EAF">
      <w:pPr>
        <w:jc w:val="left"/>
        <w:rPr>
          <w:b/>
          <w:bCs/>
        </w:rPr>
      </w:pPr>
      <w:r>
        <w:t xml:space="preserve">The simulation that we are trying to find the PV hosting capacity requires a dataset which </w:t>
      </w:r>
      <w:r w:rsidR="00C41645">
        <w:t>is</w:t>
      </w:r>
      <w:r>
        <w:t xml:space="preserve"> following: PV output profiles </w:t>
      </w:r>
      <w:r w:rsidR="00D56294">
        <w:t xml:space="preserve">can be found from </w:t>
      </w:r>
      <w:r w:rsidR="00D56294" w:rsidRPr="00D56294">
        <w:rPr>
          <w:b/>
          <w:bCs/>
        </w:rPr>
        <w:t>[5]</w:t>
      </w:r>
      <w:r>
        <w:t>.</w:t>
      </w:r>
      <w:r w:rsidR="00D56294" w:rsidRPr="00D56294">
        <w:t xml:space="preserve"> Renewables.</w:t>
      </w:r>
      <w:r w:rsidR="00C41645">
        <w:t xml:space="preserve"> </w:t>
      </w:r>
      <w:r w:rsidR="00D56294" w:rsidRPr="00D56294">
        <w:t>ninja</w:t>
      </w:r>
      <w:r>
        <w:t xml:space="preserve"> </w:t>
      </w:r>
      <w:r w:rsidR="00D56294" w:rsidRPr="00D56294">
        <w:t>allows you to run simulations of the hourly power output from wind and solar power plants located anywhere in the world.</w:t>
      </w:r>
      <w:r w:rsidR="00D56294">
        <w:t xml:space="preserve"> Also</w:t>
      </w:r>
      <w:r w:rsidR="00C41645">
        <w:t>,</w:t>
      </w:r>
      <w:r w:rsidR="00D56294">
        <w:t xml:space="preserve"> we can get the load profiles from the following </w:t>
      </w:r>
      <w:r w:rsidR="00D56294" w:rsidRPr="00D56294">
        <w:rPr>
          <w:b/>
          <w:bCs/>
        </w:rPr>
        <w:t>[6]</w:t>
      </w:r>
      <w:r w:rsidR="004A1AC3">
        <w:rPr>
          <w:b/>
          <w:bCs/>
        </w:rPr>
        <w:t xml:space="preserve"> </w:t>
      </w:r>
    </w:p>
    <w:p w14:paraId="2E417747" w14:textId="2089BCD5" w:rsidR="00880132" w:rsidRDefault="00880132" w:rsidP="00AC6EAF">
      <w:pPr>
        <w:jc w:val="left"/>
        <w:rPr>
          <w:b/>
          <w:bCs/>
        </w:rPr>
      </w:pPr>
    </w:p>
    <w:p w14:paraId="5F1DE948" w14:textId="4104FD27" w:rsidR="00880132" w:rsidRDefault="00880132">
      <w:pPr>
        <w:pStyle w:val="Balk1"/>
        <w:numPr>
          <w:ilvl w:val="0"/>
          <w:numId w:val="9"/>
        </w:numPr>
      </w:pPr>
      <w:r>
        <w:t>ALGORITHM</w:t>
      </w:r>
    </w:p>
    <w:p w14:paraId="58E661C3" w14:textId="721B73A3" w:rsidR="001B041D" w:rsidRDefault="00465E29" w:rsidP="00465E29">
      <w:pPr>
        <w:jc w:val="both"/>
      </w:pPr>
      <w:r w:rsidRPr="00465E29">
        <w:t xml:space="preserve">In the algorithm, it is necessary to generate the PV points to be added for each scenario first. We randomly generated this to be PV injectable spots. Then we integrated the PV powers as negative charge to the generated points. And we iteratively applied the daily power flow analysis by increasing the PV power step by step. For each phase, we recorded the highest PU </w:t>
      </w:r>
      <w:r w:rsidRPr="00465E29">
        <w:lastRenderedPageBreak/>
        <w:t xml:space="preserve">voltage magnitude detected during the day and recorded each overshoot point into a string array with PV powers and positions. </w:t>
      </w:r>
      <w:proofErr w:type="gramStart"/>
      <w:r w:rsidRPr="00465E29">
        <w:t>In order to</w:t>
      </w:r>
      <w:proofErr w:type="gramEnd"/>
      <w:r w:rsidRPr="00465E29">
        <w:t xml:space="preserve"> get an overview for each scenario realized in the last step, we have displayed all the recorded maximum point data on a graph and have seen its general characteristic.</w:t>
      </w:r>
    </w:p>
    <w:p w14:paraId="6B5A8B23" w14:textId="77777777" w:rsidR="001B041D" w:rsidRDefault="001B041D" w:rsidP="001B041D"/>
    <w:p w14:paraId="72F5C6CB" w14:textId="0B989FA6" w:rsidR="001B041D" w:rsidRDefault="001B041D">
      <w:pPr>
        <w:pStyle w:val="ListeParagraf"/>
        <w:numPr>
          <w:ilvl w:val="0"/>
          <w:numId w:val="9"/>
        </w:numPr>
      </w:pPr>
      <w:r>
        <w:t>CASE STUDIES</w:t>
      </w:r>
    </w:p>
    <w:p w14:paraId="56878927" w14:textId="7E025BB1" w:rsidR="004A1AC3" w:rsidRDefault="004A1AC3" w:rsidP="004A1AC3">
      <w:pPr>
        <w:jc w:val="both"/>
      </w:pPr>
    </w:p>
    <w:p w14:paraId="1EB226BE" w14:textId="5AAD7C9E" w:rsidR="001B041D" w:rsidRDefault="004A1AC3" w:rsidP="001B041D">
      <w:pPr>
        <w:ind w:left="360"/>
        <w:jc w:val="both"/>
      </w:pPr>
      <w:proofErr w:type="spellStart"/>
      <w:r>
        <w:rPr>
          <w:lang w:val="tr-TR"/>
        </w:rPr>
        <w:t>The</w:t>
      </w:r>
      <w:proofErr w:type="spellEnd"/>
      <w:r>
        <w:rPr>
          <w:lang w:val="tr-TR"/>
        </w:rPr>
        <w:t xml:space="preserve"> </w:t>
      </w:r>
      <w:proofErr w:type="spellStart"/>
      <w:r>
        <w:rPr>
          <w:lang w:val="tr-TR"/>
        </w:rPr>
        <w:t>simulations</w:t>
      </w:r>
      <w:proofErr w:type="spellEnd"/>
      <w:r>
        <w:rPr>
          <w:lang w:val="tr-TR"/>
        </w:rPr>
        <w:t xml:space="preserve"> </w:t>
      </w:r>
      <w:proofErr w:type="spellStart"/>
      <w:r>
        <w:rPr>
          <w:lang w:val="tr-TR"/>
        </w:rPr>
        <w:t>will</w:t>
      </w:r>
      <w:proofErr w:type="spellEnd"/>
      <w:r>
        <w:rPr>
          <w:lang w:val="tr-TR"/>
        </w:rPr>
        <w:t xml:space="preserve"> be </w:t>
      </w:r>
      <w:proofErr w:type="gramStart"/>
      <w:r>
        <w:rPr>
          <w:lang w:val="tr-TR"/>
        </w:rPr>
        <w:t>done</w:t>
      </w:r>
      <w:proofErr w:type="gramEnd"/>
      <w:r>
        <w:rPr>
          <w:lang w:val="tr-TR"/>
        </w:rPr>
        <w:t xml:space="preserve"> on </w:t>
      </w:r>
      <w:proofErr w:type="spellStart"/>
      <w:r>
        <w:rPr>
          <w:lang w:val="tr-TR"/>
        </w:rPr>
        <w:t>the</w:t>
      </w:r>
      <w:proofErr w:type="spellEnd"/>
      <w:r>
        <w:rPr>
          <w:lang w:val="tr-TR"/>
        </w:rPr>
        <w:t xml:space="preserve"> IEEE 123-node </w:t>
      </w:r>
      <w:proofErr w:type="spellStart"/>
      <w:r>
        <w:rPr>
          <w:lang w:val="tr-TR"/>
        </w:rPr>
        <w:t>distribution</w:t>
      </w:r>
      <w:proofErr w:type="spellEnd"/>
      <w:r>
        <w:rPr>
          <w:lang w:val="tr-TR"/>
        </w:rPr>
        <w:t xml:space="preserve"> </w:t>
      </w:r>
      <w:proofErr w:type="spellStart"/>
      <w:r>
        <w:rPr>
          <w:lang w:val="tr-TR"/>
        </w:rPr>
        <w:t>feeder</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algorithm</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we</w:t>
      </w:r>
      <w:proofErr w:type="spellEnd"/>
      <w:r>
        <w:rPr>
          <w:lang w:val="tr-TR"/>
        </w:rPr>
        <w:t xml:space="preserve"> </w:t>
      </w:r>
      <w:proofErr w:type="spellStart"/>
      <w:r w:rsidR="00C41645">
        <w:rPr>
          <w:lang w:val="tr-TR"/>
        </w:rPr>
        <w:t>mentioned</w:t>
      </w:r>
      <w:proofErr w:type="spellEnd"/>
      <w:r>
        <w:rPr>
          <w:lang w:val="tr-TR"/>
        </w:rPr>
        <w:t xml:space="preserve"> </w:t>
      </w:r>
      <w:proofErr w:type="spellStart"/>
      <w:r>
        <w:rPr>
          <w:lang w:val="tr-TR"/>
        </w:rPr>
        <w:t>above</w:t>
      </w:r>
      <w:proofErr w:type="spellEnd"/>
      <w:r>
        <w:rPr>
          <w:lang w:val="tr-TR"/>
        </w:rPr>
        <w:t xml:space="preserve"> </w:t>
      </w:r>
      <w:proofErr w:type="spellStart"/>
      <w:r>
        <w:rPr>
          <w:lang w:val="tr-TR"/>
        </w:rPr>
        <w:t>will</w:t>
      </w:r>
      <w:proofErr w:type="spellEnd"/>
      <w:r>
        <w:rPr>
          <w:lang w:val="tr-TR"/>
        </w:rPr>
        <w:t xml:space="preserve"> be </w:t>
      </w:r>
      <w:proofErr w:type="spellStart"/>
      <w:r>
        <w:rPr>
          <w:lang w:val="tr-TR"/>
        </w:rPr>
        <w:t>impleme</w:t>
      </w:r>
      <w:r w:rsidR="002E26B1">
        <w:rPr>
          <w:lang w:val="tr-TR"/>
        </w:rPr>
        <w:t>nted</w:t>
      </w:r>
      <w:proofErr w:type="spellEnd"/>
      <w:r w:rsidR="002E26B1">
        <w:rPr>
          <w:lang w:val="tr-TR"/>
        </w:rPr>
        <w:t>.</w:t>
      </w:r>
      <w:r w:rsidR="005E635D">
        <w:rPr>
          <w:lang w:val="tr-TR"/>
        </w:rPr>
        <w:t xml:space="preserve"> </w:t>
      </w:r>
      <w:proofErr w:type="spellStart"/>
      <w:r w:rsidR="005E635D">
        <w:rPr>
          <w:lang w:val="tr-TR"/>
        </w:rPr>
        <w:t>Also</w:t>
      </w:r>
      <w:proofErr w:type="spellEnd"/>
      <w:r w:rsidR="00C41645">
        <w:rPr>
          <w:lang w:val="tr-TR"/>
        </w:rPr>
        <w:t>,</w:t>
      </w:r>
      <w:r w:rsidR="005E635D">
        <w:rPr>
          <w:lang w:val="tr-TR"/>
        </w:rPr>
        <w:t xml:space="preserve"> </w:t>
      </w:r>
      <w:proofErr w:type="spellStart"/>
      <w:r w:rsidR="005E635D">
        <w:rPr>
          <w:lang w:val="tr-TR"/>
        </w:rPr>
        <w:t>such</w:t>
      </w:r>
      <w:proofErr w:type="spellEnd"/>
      <w:r w:rsidR="005E635D">
        <w:rPr>
          <w:lang w:val="tr-TR"/>
        </w:rPr>
        <w:t xml:space="preserve"> </w:t>
      </w:r>
      <w:proofErr w:type="spellStart"/>
      <w:r w:rsidR="005E635D">
        <w:rPr>
          <w:lang w:val="tr-TR"/>
        </w:rPr>
        <w:t>implementations</w:t>
      </w:r>
      <w:proofErr w:type="spellEnd"/>
      <w:r w:rsidR="005E635D">
        <w:rPr>
          <w:lang w:val="tr-TR"/>
        </w:rPr>
        <w:t xml:space="preserve"> </w:t>
      </w:r>
      <w:proofErr w:type="spellStart"/>
      <w:r w:rsidR="005E635D">
        <w:rPr>
          <w:lang w:val="tr-TR"/>
        </w:rPr>
        <w:t>will</w:t>
      </w:r>
      <w:proofErr w:type="spellEnd"/>
      <w:r w:rsidR="005E635D">
        <w:rPr>
          <w:lang w:val="tr-TR"/>
        </w:rPr>
        <w:t xml:space="preserve"> </w:t>
      </w:r>
      <w:r w:rsidR="00C41645">
        <w:rPr>
          <w:lang w:val="tr-TR"/>
        </w:rPr>
        <w:t xml:space="preserve">be </w:t>
      </w:r>
      <w:proofErr w:type="spellStart"/>
      <w:r w:rsidR="00C41645">
        <w:rPr>
          <w:lang w:val="tr-TR"/>
        </w:rPr>
        <w:t>performed</w:t>
      </w:r>
      <w:proofErr w:type="spellEnd"/>
      <w:r w:rsidR="005E635D">
        <w:rPr>
          <w:lang w:val="tr-TR"/>
        </w:rPr>
        <w:t xml:space="preserve"> in </w:t>
      </w:r>
      <w:proofErr w:type="spellStart"/>
      <w:r w:rsidR="005E635D">
        <w:rPr>
          <w:lang w:val="tr-TR"/>
        </w:rPr>
        <w:t>the</w:t>
      </w:r>
      <w:proofErr w:type="spellEnd"/>
      <w:r w:rsidR="005E635D">
        <w:rPr>
          <w:lang w:val="tr-TR"/>
        </w:rPr>
        <w:t xml:space="preserve"> MATLAB </w:t>
      </w:r>
      <w:proofErr w:type="spellStart"/>
      <w:r w:rsidR="005E635D">
        <w:rPr>
          <w:lang w:val="tr-TR"/>
        </w:rPr>
        <w:t>and</w:t>
      </w:r>
      <w:proofErr w:type="spellEnd"/>
      <w:r w:rsidR="005E635D">
        <w:rPr>
          <w:lang w:val="tr-TR"/>
        </w:rPr>
        <w:t xml:space="preserve"> </w:t>
      </w:r>
      <w:proofErr w:type="spellStart"/>
      <w:r w:rsidR="005E635D">
        <w:rPr>
          <w:lang w:val="tr-TR"/>
        </w:rPr>
        <w:t>OpenD</w:t>
      </w:r>
      <w:r w:rsidR="00182E9B">
        <w:rPr>
          <w:lang w:val="tr-TR"/>
        </w:rPr>
        <w:t>SS</w:t>
      </w:r>
      <w:proofErr w:type="spellEnd"/>
      <w:r w:rsidR="005E635D">
        <w:rPr>
          <w:lang w:val="tr-TR"/>
        </w:rPr>
        <w:t xml:space="preserve"> </w:t>
      </w:r>
      <w:proofErr w:type="spellStart"/>
      <w:r w:rsidR="00C41645">
        <w:rPr>
          <w:lang w:val="tr-TR"/>
        </w:rPr>
        <w:t>environments</w:t>
      </w:r>
      <w:proofErr w:type="spellEnd"/>
      <w:r w:rsidR="005E635D">
        <w:rPr>
          <w:lang w:val="tr-TR"/>
        </w:rPr>
        <w:t xml:space="preserve">. </w:t>
      </w:r>
    </w:p>
    <w:p w14:paraId="78140A79" w14:textId="77777777" w:rsidR="001B041D" w:rsidRDefault="001B041D" w:rsidP="004A1AC3">
      <w:pPr>
        <w:pStyle w:val="ListeParagraf"/>
        <w:keepNext/>
        <w:jc w:val="both"/>
      </w:pPr>
      <w:r w:rsidRPr="001B041D">
        <w:rPr>
          <w:noProof/>
        </w:rPr>
        <w:drawing>
          <wp:inline distT="0" distB="0" distL="0" distR="0" wp14:anchorId="4FBC9574" wp14:editId="7793F24B">
            <wp:extent cx="3200400" cy="2376170"/>
            <wp:effectExtent l="0" t="0" r="0" b="5080"/>
            <wp:docPr id="1028" name="Picture 4" descr="shows the IEEE 123 node test feeder model. | Download Scientific Diagram">
              <a:extLst xmlns:a="http://schemas.openxmlformats.org/drawingml/2006/main">
                <a:ext uri="{FF2B5EF4-FFF2-40B4-BE49-F238E27FC236}">
                  <a16:creationId xmlns:a16="http://schemas.microsoft.com/office/drawing/2014/main" id="{88F72CC6-84EB-B1A7-E15A-BB440C795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hows the IEEE 123 node test feeder model. | Download Scientific Diagram">
                      <a:extLst>
                        <a:ext uri="{FF2B5EF4-FFF2-40B4-BE49-F238E27FC236}">
                          <a16:creationId xmlns:a16="http://schemas.microsoft.com/office/drawing/2014/main" id="{88F72CC6-84EB-B1A7-E15A-BB440C79523F}"/>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00400" cy="2376170"/>
                    </a:xfrm>
                    <a:prstGeom prst="rect">
                      <a:avLst/>
                    </a:prstGeom>
                    <a:noFill/>
                  </pic:spPr>
                </pic:pic>
              </a:graphicData>
            </a:graphic>
          </wp:inline>
        </w:drawing>
      </w:r>
    </w:p>
    <w:p w14:paraId="5973E3C3" w14:textId="6BE394CC" w:rsidR="001B041D" w:rsidRDefault="001B041D" w:rsidP="001B041D">
      <w:pPr>
        <w:pStyle w:val="ResimYazs"/>
      </w:pPr>
      <w:r>
        <w:t xml:space="preserve">Figure </w:t>
      </w:r>
      <w:fldSimple w:instr=" SEQ Şekil \* ARABIC ">
        <w:r>
          <w:rPr>
            <w:noProof/>
          </w:rPr>
          <w:t>2</w:t>
        </w:r>
      </w:fldSimple>
      <w:r>
        <w:t>/ IEEE 123 Node Test Feeder</w:t>
      </w:r>
    </w:p>
    <w:p w14:paraId="61D3C68F" w14:textId="147542C1" w:rsidR="005E635D" w:rsidRDefault="005E635D" w:rsidP="001B041D">
      <w:pPr>
        <w:jc w:val="both"/>
      </w:pPr>
    </w:p>
    <w:p w14:paraId="718EA1AE" w14:textId="029DC892" w:rsidR="005E635D" w:rsidRDefault="005E635D" w:rsidP="001B041D">
      <w:pPr>
        <w:jc w:val="both"/>
      </w:pPr>
      <w:r>
        <w:t xml:space="preserve">To perform such simulations and </w:t>
      </w:r>
    </w:p>
    <w:p w14:paraId="2A87C16F" w14:textId="3075D8C0" w:rsidR="001B041D" w:rsidRPr="00C41645" w:rsidRDefault="005E635D" w:rsidP="001B041D">
      <w:pPr>
        <w:jc w:val="both"/>
        <w:rPr>
          <w:color w:val="FF0000"/>
        </w:rPr>
      </w:pPr>
      <w:r w:rsidRPr="001F2517">
        <w:t xml:space="preserve">Scenario-1:    </w:t>
      </w:r>
      <w:r w:rsidR="00465E29" w:rsidRPr="00465E29">
        <w:t>The PV node points generated in each scenario are different. In other words, the characteristics that will be obtained as a result also differ. In the scenario, a result is obtained by injecting only PV powers into the system.</w:t>
      </w:r>
    </w:p>
    <w:p w14:paraId="36DBF512" w14:textId="01A09DF3" w:rsidR="00AC6EAF" w:rsidRPr="00C41645" w:rsidRDefault="00AC6EAF" w:rsidP="000B6B5B">
      <w:pPr>
        <w:pStyle w:val="GvdeMetni"/>
        <w:ind w:left="1008" w:firstLine="0"/>
        <w:rPr>
          <w:color w:val="FF0000"/>
          <w:lang w:val="tr-TR"/>
        </w:rPr>
      </w:pPr>
    </w:p>
    <w:p w14:paraId="79142A5D" w14:textId="77777777" w:rsidR="00465E29" w:rsidRDefault="00465E29" w:rsidP="00465E29">
      <w:pPr>
        <w:pStyle w:val="GvdeMetni"/>
        <w:keepNext/>
        <w:ind w:left="1008" w:firstLine="0"/>
      </w:pPr>
      <w:r>
        <w:rPr>
          <w:noProof/>
        </w:rPr>
        <w:drawing>
          <wp:inline distT="0" distB="0" distL="0" distR="0" wp14:anchorId="147F9B49" wp14:editId="7E74EFFF">
            <wp:extent cx="2698321" cy="1125855"/>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82" cy="1128718"/>
                    </a:xfrm>
                    <a:prstGeom prst="rect">
                      <a:avLst/>
                    </a:prstGeom>
                  </pic:spPr>
                </pic:pic>
              </a:graphicData>
            </a:graphic>
          </wp:inline>
        </w:drawing>
      </w:r>
    </w:p>
    <w:p w14:paraId="09D82C74" w14:textId="32589D39" w:rsidR="00D941BF" w:rsidRPr="00465E29" w:rsidRDefault="00465E29" w:rsidP="00465E29">
      <w:pPr>
        <w:pStyle w:val="ResimYazs"/>
        <w:ind w:left="288" w:firstLine="720"/>
        <w:jc w:val="both"/>
        <w:rPr>
          <w:color w:val="FF0000"/>
          <w:sz w:val="16"/>
          <w:szCs w:val="16"/>
          <w:lang w:val="tr-TR"/>
        </w:rPr>
      </w:pPr>
      <w:r>
        <w:rPr>
          <w:sz w:val="16"/>
          <w:szCs w:val="16"/>
        </w:rPr>
        <w:t xml:space="preserve"> </w:t>
      </w:r>
      <w:r w:rsidRPr="00465E29">
        <w:rPr>
          <w:sz w:val="16"/>
          <w:szCs w:val="16"/>
        </w:rPr>
        <w:t>Figure</w:t>
      </w:r>
      <w:r w:rsidR="001F2517">
        <w:rPr>
          <w:sz w:val="16"/>
          <w:szCs w:val="16"/>
        </w:rPr>
        <w:t xml:space="preserve">3 </w:t>
      </w:r>
      <w:r w:rsidRPr="00465E29">
        <w:rPr>
          <w:sz w:val="16"/>
          <w:szCs w:val="16"/>
        </w:rPr>
        <w:t xml:space="preserve">An example of PV node points for 10 different </w:t>
      </w:r>
      <w:proofErr w:type="spellStart"/>
      <w:r w:rsidRPr="00465E29">
        <w:rPr>
          <w:sz w:val="16"/>
          <w:szCs w:val="16"/>
        </w:rPr>
        <w:t>senarios</w:t>
      </w:r>
      <w:proofErr w:type="spellEnd"/>
    </w:p>
    <w:p w14:paraId="6EFA73EF" w14:textId="77777777" w:rsidR="001F2517" w:rsidRDefault="001F2517" w:rsidP="001F2517">
      <w:pPr>
        <w:pStyle w:val="GvdeMetni"/>
        <w:keepNext/>
      </w:pPr>
      <w:r w:rsidRPr="001F2517">
        <w:rPr>
          <w:noProof/>
          <w:color w:val="FF0000"/>
        </w:rPr>
        <w:drawing>
          <wp:inline distT="0" distB="0" distL="0" distR="0" wp14:anchorId="5177F8B5" wp14:editId="17CBD8F9">
            <wp:extent cx="3200400" cy="1669415"/>
            <wp:effectExtent l="0" t="0" r="0" b="6985"/>
            <wp:docPr id="5" name="İçerik Yer Tutucusu 4">
              <a:extLst xmlns:a="http://schemas.openxmlformats.org/drawingml/2006/main">
                <a:ext uri="{FF2B5EF4-FFF2-40B4-BE49-F238E27FC236}">
                  <a16:creationId xmlns:a16="http://schemas.microsoft.com/office/drawing/2014/main" id="{548D2952-0A91-A2C8-005F-157B70FDF7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548D2952-0A91-A2C8-005F-157B70FDF72F}"/>
                        </a:ext>
                      </a:extLst>
                    </pic:cNvPr>
                    <pic:cNvPicPr>
                      <a:picLocks noGrp="1" noChangeAspect="1"/>
                    </pic:cNvPicPr>
                  </pic:nvPicPr>
                  <pic:blipFill>
                    <a:blip r:embed="rId11"/>
                    <a:stretch>
                      <a:fillRect/>
                    </a:stretch>
                  </pic:blipFill>
                  <pic:spPr>
                    <a:xfrm>
                      <a:off x="0" y="0"/>
                      <a:ext cx="3200400" cy="1669415"/>
                    </a:xfrm>
                    <a:prstGeom prst="rect">
                      <a:avLst/>
                    </a:prstGeom>
                  </pic:spPr>
                </pic:pic>
              </a:graphicData>
            </a:graphic>
          </wp:inline>
        </w:drawing>
      </w:r>
    </w:p>
    <w:p w14:paraId="16D07A04" w14:textId="619EA30C" w:rsidR="00D941BF" w:rsidRDefault="001F2517" w:rsidP="001F2517">
      <w:pPr>
        <w:pStyle w:val="ResimYazs"/>
        <w:jc w:val="both"/>
      </w:pPr>
      <w:r>
        <w:t xml:space="preserve">         Figure 4 The Maximum Points </w:t>
      </w:r>
      <w:proofErr w:type="spellStart"/>
      <w:r>
        <w:t>Charactheristic</w:t>
      </w:r>
      <w:proofErr w:type="spellEnd"/>
      <w:r>
        <w:t xml:space="preserve"> of the simulations</w:t>
      </w:r>
    </w:p>
    <w:p w14:paraId="1DE1E106" w14:textId="76657483" w:rsidR="001F2517" w:rsidRDefault="001F2517" w:rsidP="001F2517">
      <w:pPr>
        <w:jc w:val="both"/>
      </w:pPr>
      <w:r w:rsidRPr="001F2517">
        <w:t>As can be seen in Figure 4, the maximum phase voltage values taken for simulations involving 10 different scenarios and 100 different PV powers in each scenario were recorded and plotted in PU. Since the power of the PVs increases with each iteration, a step-by-step graph is seen for each scenario.</w:t>
      </w:r>
    </w:p>
    <w:p w14:paraId="2D33CF9C" w14:textId="77777777" w:rsidR="001F2517" w:rsidRPr="001F2517" w:rsidRDefault="001F2517" w:rsidP="001F2517">
      <w:pPr>
        <w:jc w:val="both"/>
      </w:pPr>
    </w:p>
    <w:p w14:paraId="41B00667" w14:textId="0819B329" w:rsidR="00D941BF" w:rsidRPr="00D941BF" w:rsidRDefault="00D941BF">
      <w:pPr>
        <w:pStyle w:val="GvdeMetni"/>
        <w:numPr>
          <w:ilvl w:val="0"/>
          <w:numId w:val="9"/>
        </w:numPr>
        <w:rPr>
          <w:lang w:val="tr-TR"/>
        </w:rPr>
      </w:pPr>
      <w:r>
        <w:t>CONCLUSION</w:t>
      </w:r>
    </w:p>
    <w:p w14:paraId="5CFAD1CF" w14:textId="77777777" w:rsidR="00D941BF" w:rsidRDefault="00D941BF" w:rsidP="00D941BF">
      <w:pPr>
        <w:pStyle w:val="GvdeMetni"/>
        <w:ind w:firstLine="0"/>
        <w:rPr>
          <w:lang w:val="tr-TR"/>
        </w:rPr>
      </w:pPr>
    </w:p>
    <w:p w14:paraId="5F11383C" w14:textId="3E9CFBA4" w:rsidR="00D941BF" w:rsidRDefault="00D941BF" w:rsidP="00D941BF">
      <w:pPr>
        <w:pStyle w:val="GvdeMetni"/>
        <w:ind w:firstLine="0"/>
        <w:rPr>
          <w:lang w:val="tr-TR"/>
        </w:rPr>
      </w:pPr>
      <w:proofErr w:type="spellStart"/>
      <w:r w:rsidRPr="00D941BF">
        <w:rPr>
          <w:lang w:val="tr-TR"/>
        </w:rPr>
        <w:t>This</w:t>
      </w:r>
      <w:proofErr w:type="spellEnd"/>
      <w:r w:rsidRPr="00D941BF">
        <w:rPr>
          <w:lang w:val="tr-TR"/>
        </w:rPr>
        <w:t xml:space="preserve"> </w:t>
      </w:r>
      <w:proofErr w:type="spellStart"/>
      <w:r w:rsidRPr="00D941BF">
        <w:rPr>
          <w:lang w:val="tr-TR"/>
        </w:rPr>
        <w:t>work</w:t>
      </w:r>
      <w:proofErr w:type="spellEnd"/>
      <w:r w:rsidRPr="00D941BF">
        <w:rPr>
          <w:lang w:val="tr-TR"/>
        </w:rPr>
        <w:t xml:space="preserve"> has </w:t>
      </w:r>
      <w:proofErr w:type="spellStart"/>
      <w:r w:rsidRPr="00D941BF">
        <w:rPr>
          <w:lang w:val="tr-TR"/>
        </w:rPr>
        <w:t>been</w:t>
      </w:r>
      <w:proofErr w:type="spellEnd"/>
      <w:r w:rsidRPr="00D941BF">
        <w:rPr>
          <w:lang w:val="tr-TR"/>
        </w:rPr>
        <w:t xml:space="preserve"> </w:t>
      </w:r>
      <w:proofErr w:type="gramStart"/>
      <w:r w:rsidRPr="00D941BF">
        <w:rPr>
          <w:lang w:val="tr-TR"/>
        </w:rPr>
        <w:t>done</w:t>
      </w:r>
      <w:proofErr w:type="gramEnd"/>
      <w:r w:rsidRPr="00D941BF">
        <w:rPr>
          <w:lang w:val="tr-TR"/>
        </w:rPr>
        <w:t xml:space="preserve"> </w:t>
      </w:r>
      <w:proofErr w:type="spellStart"/>
      <w:r w:rsidRPr="00D941BF">
        <w:rPr>
          <w:lang w:val="tr-TR"/>
        </w:rPr>
        <w:t>to</w:t>
      </w:r>
      <w:proofErr w:type="spellEnd"/>
      <w:r w:rsidRPr="00D941BF">
        <w:rPr>
          <w:lang w:val="tr-TR"/>
        </w:rPr>
        <w:t xml:space="preserve"> </w:t>
      </w:r>
      <w:proofErr w:type="spellStart"/>
      <w:r w:rsidRPr="00D941BF">
        <w:rPr>
          <w:lang w:val="tr-TR"/>
        </w:rPr>
        <w:t>the</w:t>
      </w:r>
      <w:proofErr w:type="spellEnd"/>
      <w:r w:rsidRPr="00D941BF">
        <w:rPr>
          <w:lang w:val="tr-TR"/>
        </w:rPr>
        <w:t xml:space="preserve"> </w:t>
      </w:r>
      <w:proofErr w:type="spellStart"/>
      <w:r w:rsidRPr="00D941BF">
        <w:rPr>
          <w:lang w:val="tr-TR"/>
        </w:rPr>
        <w:t>determine</w:t>
      </w:r>
      <w:proofErr w:type="spellEnd"/>
      <w:r w:rsidRPr="00D941BF">
        <w:rPr>
          <w:lang w:val="tr-TR"/>
        </w:rPr>
        <w:t xml:space="preserve"> PV </w:t>
      </w:r>
      <w:proofErr w:type="spellStart"/>
      <w:r w:rsidRPr="00D941BF">
        <w:rPr>
          <w:lang w:val="tr-TR"/>
        </w:rPr>
        <w:t>hosting</w:t>
      </w:r>
      <w:proofErr w:type="spellEnd"/>
      <w:r w:rsidRPr="00D941BF">
        <w:rPr>
          <w:lang w:val="tr-TR"/>
        </w:rPr>
        <w:t xml:space="preserve"> </w:t>
      </w:r>
      <w:proofErr w:type="spellStart"/>
      <w:r w:rsidRPr="00D941BF">
        <w:rPr>
          <w:lang w:val="tr-TR"/>
        </w:rPr>
        <w:t>capacity</w:t>
      </w:r>
      <w:proofErr w:type="spellEnd"/>
      <w:r w:rsidRPr="00D941BF">
        <w:rPr>
          <w:lang w:val="tr-TR"/>
        </w:rPr>
        <w:t xml:space="preserve"> of </w:t>
      </w:r>
      <w:proofErr w:type="spellStart"/>
      <w:r w:rsidRPr="00D941BF">
        <w:rPr>
          <w:lang w:val="tr-TR"/>
        </w:rPr>
        <w:t>the</w:t>
      </w:r>
      <w:proofErr w:type="spellEnd"/>
      <w:r w:rsidRPr="00D941BF">
        <w:rPr>
          <w:lang w:val="tr-TR"/>
        </w:rPr>
        <w:t xml:space="preserve"> </w:t>
      </w:r>
      <w:proofErr w:type="spellStart"/>
      <w:r w:rsidRPr="00D941BF">
        <w:rPr>
          <w:lang w:val="tr-TR"/>
        </w:rPr>
        <w:t>power</w:t>
      </w:r>
      <w:proofErr w:type="spellEnd"/>
      <w:r w:rsidRPr="00D941BF">
        <w:rPr>
          <w:lang w:val="tr-TR"/>
        </w:rPr>
        <w:t xml:space="preserve"> </w:t>
      </w:r>
      <w:proofErr w:type="spellStart"/>
      <w:r w:rsidRPr="00D941BF">
        <w:rPr>
          <w:lang w:val="tr-TR"/>
        </w:rPr>
        <w:t>distribution</w:t>
      </w:r>
      <w:proofErr w:type="spellEnd"/>
      <w:r w:rsidRPr="00D941BF">
        <w:rPr>
          <w:lang w:val="tr-TR"/>
        </w:rPr>
        <w:t xml:space="preserve"> </w:t>
      </w:r>
      <w:proofErr w:type="spellStart"/>
      <w:r w:rsidRPr="00D941BF">
        <w:rPr>
          <w:lang w:val="tr-TR"/>
        </w:rPr>
        <w:t>systems</w:t>
      </w:r>
      <w:proofErr w:type="spellEnd"/>
      <w:r w:rsidRPr="00D941BF">
        <w:rPr>
          <w:lang w:val="tr-TR"/>
        </w:rPr>
        <w:t xml:space="preserve"> </w:t>
      </w:r>
      <w:proofErr w:type="spellStart"/>
      <w:r w:rsidRPr="00D941BF">
        <w:rPr>
          <w:lang w:val="tr-TR"/>
        </w:rPr>
        <w:t>and</w:t>
      </w:r>
      <w:proofErr w:type="spellEnd"/>
      <w:r w:rsidRPr="00D941BF">
        <w:rPr>
          <w:lang w:val="tr-TR"/>
        </w:rPr>
        <w:t xml:space="preserve"> </w:t>
      </w:r>
      <w:proofErr w:type="spellStart"/>
      <w:r w:rsidRPr="00D941BF">
        <w:rPr>
          <w:lang w:val="tr-TR"/>
        </w:rPr>
        <w:t>observed</w:t>
      </w:r>
      <w:proofErr w:type="spellEnd"/>
      <w:r w:rsidRPr="00D941BF">
        <w:rPr>
          <w:lang w:val="tr-TR"/>
        </w:rPr>
        <w:t xml:space="preserve"> </w:t>
      </w:r>
      <w:proofErr w:type="spellStart"/>
      <w:r w:rsidRPr="00D941BF">
        <w:rPr>
          <w:lang w:val="tr-TR"/>
        </w:rPr>
        <w:t>maximum</w:t>
      </w:r>
      <w:proofErr w:type="spellEnd"/>
      <w:r w:rsidRPr="00D941BF">
        <w:rPr>
          <w:lang w:val="tr-TR"/>
        </w:rPr>
        <w:t xml:space="preserve"> </w:t>
      </w:r>
      <w:proofErr w:type="spellStart"/>
      <w:r w:rsidRPr="00D941BF">
        <w:rPr>
          <w:lang w:val="tr-TR"/>
        </w:rPr>
        <w:t>voltage</w:t>
      </w:r>
      <w:proofErr w:type="spellEnd"/>
      <w:r w:rsidRPr="00D941BF">
        <w:rPr>
          <w:lang w:val="tr-TR"/>
        </w:rPr>
        <w:t xml:space="preserve"> </w:t>
      </w:r>
      <w:proofErr w:type="spellStart"/>
      <w:r w:rsidRPr="00D941BF">
        <w:rPr>
          <w:lang w:val="tr-TR"/>
        </w:rPr>
        <w:t>deviations</w:t>
      </w:r>
      <w:proofErr w:type="spellEnd"/>
      <w:r w:rsidR="00AF5501">
        <w:rPr>
          <w:lang w:val="tr-TR"/>
        </w:rPr>
        <w:t xml:space="preserve"> </w:t>
      </w:r>
      <w:proofErr w:type="spellStart"/>
      <w:r w:rsidR="00AF5501">
        <w:rPr>
          <w:lang w:val="tr-TR"/>
        </w:rPr>
        <w:t>with</w:t>
      </w:r>
      <w:proofErr w:type="spellEnd"/>
      <w:r w:rsidR="00AF5501">
        <w:rPr>
          <w:lang w:val="tr-TR"/>
        </w:rPr>
        <w:t xml:space="preserve"> </w:t>
      </w:r>
      <w:r w:rsidR="00C41645">
        <w:rPr>
          <w:lang w:val="tr-TR"/>
        </w:rPr>
        <w:t xml:space="preserve">an </w:t>
      </w:r>
      <w:proofErr w:type="spellStart"/>
      <w:r w:rsidR="00AF5501">
        <w:rPr>
          <w:lang w:val="tr-TR"/>
        </w:rPr>
        <w:t>injection</w:t>
      </w:r>
      <w:proofErr w:type="spellEnd"/>
      <w:r w:rsidR="00AF5501">
        <w:rPr>
          <w:lang w:val="tr-TR"/>
        </w:rPr>
        <w:t xml:space="preserve"> of PV </w:t>
      </w:r>
      <w:proofErr w:type="spellStart"/>
      <w:r w:rsidR="00AF5501">
        <w:rPr>
          <w:lang w:val="tr-TR"/>
        </w:rPr>
        <w:t>panels</w:t>
      </w:r>
      <w:proofErr w:type="spellEnd"/>
      <w:r w:rsidR="00AF5501">
        <w:rPr>
          <w:lang w:val="tr-TR"/>
        </w:rPr>
        <w:t xml:space="preserve"> </w:t>
      </w:r>
      <w:proofErr w:type="spellStart"/>
      <w:r w:rsidR="00AF5501">
        <w:rPr>
          <w:lang w:val="tr-TR"/>
        </w:rPr>
        <w:t>to</w:t>
      </w:r>
      <w:proofErr w:type="spellEnd"/>
      <w:r w:rsidR="00AF5501">
        <w:rPr>
          <w:lang w:val="tr-TR"/>
        </w:rPr>
        <w:t xml:space="preserve"> </w:t>
      </w:r>
      <w:proofErr w:type="spellStart"/>
      <w:r w:rsidR="00AF5501">
        <w:rPr>
          <w:lang w:val="tr-TR"/>
        </w:rPr>
        <w:t>the</w:t>
      </w:r>
      <w:proofErr w:type="spellEnd"/>
      <w:r w:rsidR="00AF5501">
        <w:rPr>
          <w:lang w:val="tr-TR"/>
        </w:rPr>
        <w:t xml:space="preserve"> </w:t>
      </w:r>
      <w:proofErr w:type="spellStart"/>
      <w:r w:rsidR="00AF5501">
        <w:rPr>
          <w:lang w:val="tr-TR"/>
        </w:rPr>
        <w:t>nodes</w:t>
      </w:r>
      <w:proofErr w:type="spellEnd"/>
      <w:r w:rsidR="00AF5501">
        <w:rPr>
          <w:lang w:val="tr-TR"/>
        </w:rPr>
        <w:t xml:space="preserve"> </w:t>
      </w:r>
      <w:proofErr w:type="spellStart"/>
      <w:r w:rsidR="00AF5501">
        <w:rPr>
          <w:lang w:val="tr-TR"/>
        </w:rPr>
        <w:t>to</w:t>
      </w:r>
      <w:proofErr w:type="spellEnd"/>
      <w:r w:rsidR="00AF5501">
        <w:rPr>
          <w:lang w:val="tr-TR"/>
        </w:rPr>
        <w:t xml:space="preserve"> </w:t>
      </w:r>
      <w:proofErr w:type="spellStart"/>
      <w:r w:rsidR="00AF5501">
        <w:rPr>
          <w:lang w:val="tr-TR"/>
        </w:rPr>
        <w:t>the</w:t>
      </w:r>
      <w:proofErr w:type="spellEnd"/>
      <w:r w:rsidR="00AF5501">
        <w:rPr>
          <w:lang w:val="tr-TR"/>
        </w:rPr>
        <w:t xml:space="preserve"> IEEE 123-node </w:t>
      </w:r>
      <w:proofErr w:type="spellStart"/>
      <w:r w:rsidR="00AF5501">
        <w:rPr>
          <w:lang w:val="tr-TR"/>
        </w:rPr>
        <w:t>distribution</w:t>
      </w:r>
      <w:proofErr w:type="spellEnd"/>
      <w:r w:rsidR="00AF5501">
        <w:rPr>
          <w:lang w:val="tr-TR"/>
        </w:rPr>
        <w:t xml:space="preserve"> </w:t>
      </w:r>
      <w:proofErr w:type="spellStart"/>
      <w:r w:rsidR="00AF5501">
        <w:rPr>
          <w:lang w:val="tr-TR"/>
        </w:rPr>
        <w:t>feeder</w:t>
      </w:r>
      <w:proofErr w:type="spellEnd"/>
      <w:r w:rsidR="00AF5501" w:rsidRPr="00D941BF">
        <w:rPr>
          <w:lang w:val="tr-TR"/>
        </w:rPr>
        <w:t xml:space="preserve"> </w:t>
      </w:r>
      <w:proofErr w:type="spellStart"/>
      <w:r w:rsidRPr="00D941BF">
        <w:rPr>
          <w:lang w:val="tr-TR"/>
        </w:rPr>
        <w:t>using</w:t>
      </w:r>
      <w:proofErr w:type="spellEnd"/>
      <w:r w:rsidRPr="00D941BF">
        <w:rPr>
          <w:lang w:val="tr-TR"/>
        </w:rPr>
        <w:t xml:space="preserve"> MATLAB </w:t>
      </w:r>
      <w:proofErr w:type="spellStart"/>
      <w:r w:rsidRPr="00D941BF">
        <w:rPr>
          <w:lang w:val="tr-TR"/>
        </w:rPr>
        <w:t>and</w:t>
      </w:r>
      <w:proofErr w:type="spellEnd"/>
      <w:r w:rsidRPr="00D941BF">
        <w:rPr>
          <w:lang w:val="tr-TR"/>
        </w:rPr>
        <w:t xml:space="preserve"> </w:t>
      </w:r>
      <w:proofErr w:type="spellStart"/>
      <w:r w:rsidRPr="00D941BF">
        <w:rPr>
          <w:lang w:val="tr-TR"/>
        </w:rPr>
        <w:t>OpenDSS</w:t>
      </w:r>
      <w:proofErr w:type="spellEnd"/>
      <w:r w:rsidRPr="00D941BF">
        <w:rPr>
          <w:lang w:val="tr-TR"/>
        </w:rPr>
        <w:t xml:space="preserve"> </w:t>
      </w:r>
      <w:proofErr w:type="spellStart"/>
      <w:r w:rsidRPr="00D941BF">
        <w:rPr>
          <w:lang w:val="tr-TR"/>
        </w:rPr>
        <w:t>environment</w:t>
      </w:r>
      <w:proofErr w:type="spellEnd"/>
      <w:r w:rsidRPr="00D941BF">
        <w:rPr>
          <w:lang w:val="tr-TR"/>
        </w:rPr>
        <w:t>.</w:t>
      </w:r>
    </w:p>
    <w:p w14:paraId="08C5468F" w14:textId="50CA2A34" w:rsidR="00D941BF" w:rsidRPr="00D941BF" w:rsidRDefault="00AF5501" w:rsidP="00D941BF">
      <w:pPr>
        <w:pStyle w:val="GvdeMetni"/>
        <w:ind w:firstLine="0"/>
        <w:rPr>
          <w:lang w:val="tr-TR"/>
        </w:rPr>
      </w:pPr>
      <w:proofErr w:type="spellStart"/>
      <w:r>
        <w:rPr>
          <w:lang w:val="tr-TR"/>
        </w:rPr>
        <w:t>To</w:t>
      </w:r>
      <w:proofErr w:type="spellEnd"/>
      <w:r>
        <w:rPr>
          <w:lang w:val="tr-TR"/>
        </w:rPr>
        <w:t xml:space="preserve"> </w:t>
      </w:r>
      <w:proofErr w:type="spellStart"/>
      <w:r>
        <w:rPr>
          <w:lang w:val="tr-TR"/>
        </w:rPr>
        <w:t>determine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maximum</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deviations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hosting</w:t>
      </w:r>
      <w:proofErr w:type="spellEnd"/>
      <w:r>
        <w:rPr>
          <w:lang w:val="tr-TR"/>
        </w:rPr>
        <w:t xml:space="preserve"> </w:t>
      </w:r>
      <w:proofErr w:type="spellStart"/>
      <w:r>
        <w:rPr>
          <w:lang w:val="tr-TR"/>
        </w:rPr>
        <w:t>capacity</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implement</w:t>
      </w:r>
      <w:proofErr w:type="spellEnd"/>
      <w:r>
        <w:rPr>
          <w:lang w:val="tr-TR"/>
        </w:rPr>
        <w:t xml:space="preserve"> </w:t>
      </w:r>
      <w:r w:rsidR="001F2517">
        <w:rPr>
          <w:lang w:val="tr-TR"/>
        </w:rPr>
        <w:t>a</w:t>
      </w:r>
      <w:r>
        <w:rPr>
          <w:lang w:val="tr-TR"/>
        </w:rPr>
        <w:t xml:space="preserve"> </w:t>
      </w:r>
      <w:proofErr w:type="spellStart"/>
      <w:r>
        <w:rPr>
          <w:lang w:val="tr-TR"/>
        </w:rPr>
        <w:t>method</w:t>
      </w:r>
      <w:proofErr w:type="spellEnd"/>
      <w:r w:rsidR="001F2517">
        <w:rPr>
          <w:lang w:val="tr-TR"/>
        </w:rPr>
        <w:t xml:space="preserve"> </w:t>
      </w:r>
      <w:proofErr w:type="spellStart"/>
      <w:r w:rsidR="001F2517">
        <w:rPr>
          <w:lang w:val="tr-TR"/>
        </w:rPr>
        <w:t>that</w:t>
      </w:r>
      <w:proofErr w:type="spellEnd"/>
      <w:r w:rsidR="001F2517">
        <w:rPr>
          <w:lang w:val="tr-TR"/>
        </w:rPr>
        <w:t xml:space="preserve"> </w:t>
      </w:r>
      <w:proofErr w:type="spellStart"/>
      <w:r w:rsidR="001F2517">
        <w:rPr>
          <w:lang w:val="tr-TR"/>
        </w:rPr>
        <w:t>provides</w:t>
      </w:r>
      <w:proofErr w:type="spellEnd"/>
      <w:r w:rsidR="001F2517">
        <w:rPr>
          <w:lang w:val="tr-TR"/>
        </w:rPr>
        <w:t xml:space="preserve"> us </w:t>
      </w:r>
      <w:proofErr w:type="spellStart"/>
      <w:r w:rsidR="001F2517">
        <w:rPr>
          <w:lang w:val="tr-TR"/>
        </w:rPr>
        <w:t>the</w:t>
      </w:r>
      <w:proofErr w:type="spellEnd"/>
      <w:r w:rsidR="001F2517">
        <w:rPr>
          <w:lang w:val="tr-TR"/>
        </w:rPr>
        <w:t xml:space="preserve"> </w:t>
      </w:r>
      <w:proofErr w:type="spellStart"/>
      <w:r w:rsidR="001F2517">
        <w:rPr>
          <w:lang w:val="tr-TR"/>
        </w:rPr>
        <w:t>information</w:t>
      </w:r>
      <w:proofErr w:type="spellEnd"/>
      <w:r w:rsidR="001F2517">
        <w:rPr>
          <w:lang w:val="tr-TR"/>
        </w:rPr>
        <w:t xml:space="preserve"> </w:t>
      </w:r>
      <w:proofErr w:type="spellStart"/>
      <w:r w:rsidR="001F2517">
        <w:rPr>
          <w:lang w:val="tr-TR"/>
        </w:rPr>
        <w:t>about</w:t>
      </w:r>
      <w:proofErr w:type="spellEnd"/>
      <w:r w:rsidR="001F2517">
        <w:rPr>
          <w:lang w:val="tr-TR"/>
        </w:rPr>
        <w:t xml:space="preserve"> </w:t>
      </w:r>
      <w:proofErr w:type="spellStart"/>
      <w:r w:rsidR="001F2517">
        <w:rPr>
          <w:lang w:val="tr-TR"/>
        </w:rPr>
        <w:t>the</w:t>
      </w:r>
      <w:proofErr w:type="spellEnd"/>
      <w:r w:rsidR="001F2517">
        <w:rPr>
          <w:lang w:val="tr-TR"/>
        </w:rPr>
        <w:t xml:space="preserve"> </w:t>
      </w:r>
      <w:proofErr w:type="spellStart"/>
      <w:r w:rsidR="001F2517">
        <w:rPr>
          <w:lang w:val="tr-TR"/>
        </w:rPr>
        <w:t>overflow</w:t>
      </w:r>
      <w:proofErr w:type="spellEnd"/>
      <w:r w:rsidR="001F2517">
        <w:rPr>
          <w:lang w:val="tr-TR"/>
        </w:rPr>
        <w:t xml:space="preserve"> </w:t>
      </w:r>
      <w:proofErr w:type="spellStart"/>
      <w:r w:rsidR="001F2517">
        <w:rPr>
          <w:lang w:val="tr-TR"/>
        </w:rPr>
        <w:t>changes</w:t>
      </w:r>
      <w:proofErr w:type="spellEnd"/>
      <w:r w:rsidR="001F2517">
        <w:rPr>
          <w:lang w:val="tr-TR"/>
        </w:rPr>
        <w:t xml:space="preserve"> </w:t>
      </w:r>
      <w:proofErr w:type="spellStart"/>
      <w:r w:rsidR="001F2517">
        <w:rPr>
          <w:lang w:val="tr-TR"/>
        </w:rPr>
        <w:t>by</w:t>
      </w:r>
      <w:proofErr w:type="spellEnd"/>
      <w:r w:rsidR="001F2517">
        <w:rPr>
          <w:lang w:val="tr-TR"/>
        </w:rPr>
        <w:t xml:space="preserve"> </w:t>
      </w:r>
      <w:proofErr w:type="spellStart"/>
      <w:r w:rsidR="001F2517">
        <w:rPr>
          <w:lang w:val="tr-TR"/>
        </w:rPr>
        <w:t>incresing</w:t>
      </w:r>
      <w:proofErr w:type="spellEnd"/>
      <w:r w:rsidR="001F2517">
        <w:rPr>
          <w:lang w:val="tr-TR"/>
        </w:rPr>
        <w:t xml:space="preserve"> </w:t>
      </w:r>
      <w:proofErr w:type="spellStart"/>
      <w:r w:rsidR="001F2517">
        <w:rPr>
          <w:lang w:val="tr-TR"/>
        </w:rPr>
        <w:t>the</w:t>
      </w:r>
      <w:proofErr w:type="spellEnd"/>
      <w:r w:rsidR="001F2517">
        <w:rPr>
          <w:lang w:val="tr-TR"/>
        </w:rPr>
        <w:t xml:space="preserve"> </w:t>
      </w:r>
      <w:proofErr w:type="spellStart"/>
      <w:r w:rsidR="001F2517">
        <w:rPr>
          <w:lang w:val="tr-TR"/>
        </w:rPr>
        <w:t>power</w:t>
      </w:r>
      <w:proofErr w:type="spellEnd"/>
      <w:r w:rsidR="001F2517">
        <w:rPr>
          <w:lang w:val="tr-TR"/>
        </w:rPr>
        <w:t xml:space="preserve"> of </w:t>
      </w:r>
      <w:proofErr w:type="spellStart"/>
      <w:r w:rsidR="001F2517">
        <w:rPr>
          <w:lang w:val="tr-TR"/>
        </w:rPr>
        <w:t>the</w:t>
      </w:r>
      <w:proofErr w:type="spellEnd"/>
      <w:r w:rsidR="001F2517">
        <w:rPr>
          <w:lang w:val="tr-TR"/>
        </w:rPr>
        <w:t xml:space="preserve"> </w:t>
      </w:r>
      <w:proofErr w:type="spellStart"/>
      <w:r w:rsidR="001F2517">
        <w:rPr>
          <w:lang w:val="tr-TR"/>
        </w:rPr>
        <w:t>PVs</w:t>
      </w:r>
      <w:proofErr w:type="spellEnd"/>
      <w:r w:rsidR="001F2517">
        <w:rPr>
          <w:lang w:val="tr-TR"/>
        </w:rPr>
        <w:t xml:space="preserve"> step </w:t>
      </w:r>
      <w:proofErr w:type="spellStart"/>
      <w:r w:rsidR="001F2517">
        <w:rPr>
          <w:lang w:val="tr-TR"/>
        </w:rPr>
        <w:t>by</w:t>
      </w:r>
      <w:proofErr w:type="spellEnd"/>
      <w:r w:rsidR="001F2517">
        <w:rPr>
          <w:lang w:val="tr-TR"/>
        </w:rPr>
        <w:t xml:space="preserve"> step </w:t>
      </w:r>
      <w:proofErr w:type="spellStart"/>
      <w:r w:rsidR="001F2517">
        <w:rPr>
          <w:lang w:val="tr-TR"/>
        </w:rPr>
        <w:t>and</w:t>
      </w:r>
      <w:proofErr w:type="spellEnd"/>
      <w:r w:rsidR="001F2517">
        <w:rPr>
          <w:lang w:val="tr-TR"/>
        </w:rPr>
        <w:t xml:space="preserve"> </w:t>
      </w:r>
      <w:proofErr w:type="spellStart"/>
      <w:r w:rsidR="001F2517">
        <w:rPr>
          <w:lang w:val="tr-TR"/>
        </w:rPr>
        <w:t>shows</w:t>
      </w:r>
      <w:proofErr w:type="spellEnd"/>
      <w:r w:rsidR="001F2517">
        <w:rPr>
          <w:lang w:val="tr-TR"/>
        </w:rPr>
        <w:t xml:space="preserve"> </w:t>
      </w:r>
      <w:proofErr w:type="spellStart"/>
      <w:r w:rsidR="001F2517">
        <w:rPr>
          <w:lang w:val="tr-TR"/>
        </w:rPr>
        <w:t>the</w:t>
      </w:r>
      <w:proofErr w:type="spellEnd"/>
      <w:r w:rsidR="001F2517">
        <w:rPr>
          <w:lang w:val="tr-TR"/>
        </w:rPr>
        <w:t xml:space="preserve"> </w:t>
      </w:r>
      <w:proofErr w:type="spellStart"/>
      <w:r w:rsidR="001F2517">
        <w:rPr>
          <w:lang w:val="tr-TR"/>
        </w:rPr>
        <w:t>maximums</w:t>
      </w:r>
      <w:proofErr w:type="spellEnd"/>
      <w:r w:rsidR="001F2517">
        <w:rPr>
          <w:lang w:val="tr-TR"/>
        </w:rPr>
        <w:t xml:space="preserve"> in a </w:t>
      </w:r>
      <w:proofErr w:type="spellStart"/>
      <w:r w:rsidR="001F2517">
        <w:rPr>
          <w:lang w:val="tr-TR"/>
        </w:rPr>
        <w:t>plot</w:t>
      </w:r>
      <w:proofErr w:type="spellEnd"/>
      <w:r w:rsidR="001F2517">
        <w:rPr>
          <w:lang w:val="tr-TR"/>
        </w:rPr>
        <w:t xml:space="preserve"> </w:t>
      </w:r>
      <w:proofErr w:type="spellStart"/>
      <w:r w:rsidR="001F2517">
        <w:rPr>
          <w:lang w:val="tr-TR"/>
        </w:rPr>
        <w:t>and</w:t>
      </w:r>
      <w:proofErr w:type="spellEnd"/>
      <w:r w:rsidR="001F2517">
        <w:rPr>
          <w:lang w:val="tr-TR"/>
        </w:rPr>
        <w:t xml:space="preserve"> </w:t>
      </w:r>
      <w:proofErr w:type="spellStart"/>
      <w:r w:rsidR="001F2517">
        <w:rPr>
          <w:lang w:val="tr-TR"/>
        </w:rPr>
        <w:t>string</w:t>
      </w:r>
      <w:proofErr w:type="spellEnd"/>
      <w:r w:rsidR="001F2517">
        <w:rPr>
          <w:lang w:val="tr-TR"/>
        </w:rPr>
        <w:t xml:space="preserve"> </w:t>
      </w:r>
      <w:proofErr w:type="spellStart"/>
      <w:r w:rsidR="001F2517">
        <w:rPr>
          <w:lang w:val="tr-TR"/>
        </w:rPr>
        <w:t>array</w:t>
      </w:r>
      <w:proofErr w:type="spellEnd"/>
      <w:r w:rsidR="001F2517">
        <w:rPr>
          <w:lang w:val="tr-TR"/>
        </w:rPr>
        <w:t xml:space="preserve"> </w:t>
      </w:r>
      <w:proofErr w:type="spellStart"/>
      <w:r w:rsidR="001F2517">
        <w:rPr>
          <w:lang w:val="tr-TR"/>
        </w:rPr>
        <w:t>variable</w:t>
      </w:r>
      <w:proofErr w:type="spellEnd"/>
      <w:r w:rsidR="001F2517">
        <w:rPr>
          <w:lang w:val="tr-TR"/>
        </w:rPr>
        <w:t>.</w:t>
      </w:r>
    </w:p>
    <w:p w14:paraId="32A72D8A" w14:textId="2FB45C93" w:rsidR="00D941BF" w:rsidRDefault="00D941BF" w:rsidP="00D941BF">
      <w:pPr>
        <w:pStyle w:val="GvdeMetni"/>
        <w:ind w:firstLine="0"/>
        <w:rPr>
          <w:lang w:val="tr-TR"/>
        </w:rPr>
      </w:pPr>
      <w:proofErr w:type="spellStart"/>
      <w:r w:rsidRPr="00D941BF">
        <w:rPr>
          <w:lang w:val="tr-TR"/>
        </w:rPr>
        <w:t>We</w:t>
      </w:r>
      <w:proofErr w:type="spellEnd"/>
      <w:r w:rsidRPr="00D941BF">
        <w:rPr>
          <w:lang w:val="tr-TR"/>
        </w:rPr>
        <w:t xml:space="preserve"> can </w:t>
      </w:r>
      <w:proofErr w:type="spellStart"/>
      <w:r w:rsidRPr="00D941BF">
        <w:rPr>
          <w:lang w:val="tr-TR"/>
        </w:rPr>
        <w:t>see</w:t>
      </w:r>
      <w:proofErr w:type="spellEnd"/>
      <w:r w:rsidRPr="00D941BF">
        <w:rPr>
          <w:lang w:val="tr-TR"/>
        </w:rPr>
        <w:t xml:space="preserve"> </w:t>
      </w:r>
      <w:proofErr w:type="spellStart"/>
      <w:r w:rsidRPr="00D941BF">
        <w:rPr>
          <w:lang w:val="tr-TR"/>
        </w:rPr>
        <w:t>from</w:t>
      </w:r>
      <w:proofErr w:type="spellEnd"/>
      <w:r w:rsidRPr="00D941BF">
        <w:rPr>
          <w:lang w:val="tr-TR"/>
        </w:rPr>
        <w:t xml:space="preserve"> </w:t>
      </w:r>
      <w:proofErr w:type="spellStart"/>
      <w:r w:rsidRPr="00D941BF">
        <w:rPr>
          <w:lang w:val="tr-TR"/>
        </w:rPr>
        <w:t>the</w:t>
      </w:r>
      <w:proofErr w:type="spellEnd"/>
      <w:r w:rsidRPr="00D941BF">
        <w:rPr>
          <w:lang w:val="tr-TR"/>
        </w:rPr>
        <w:t xml:space="preserve"> </w:t>
      </w:r>
      <w:proofErr w:type="spellStart"/>
      <w:r w:rsidRPr="00D941BF">
        <w:rPr>
          <w:lang w:val="tr-TR"/>
        </w:rPr>
        <w:t>simulation</w:t>
      </w:r>
      <w:proofErr w:type="spellEnd"/>
      <w:r w:rsidRPr="00D941BF">
        <w:rPr>
          <w:lang w:val="tr-TR"/>
        </w:rPr>
        <w:t xml:space="preserve"> </w:t>
      </w:r>
      <w:proofErr w:type="spellStart"/>
      <w:r w:rsidRPr="00D941BF">
        <w:rPr>
          <w:lang w:val="tr-TR"/>
        </w:rPr>
        <w:t>result</w:t>
      </w:r>
      <w:proofErr w:type="spellEnd"/>
      <w:r w:rsidRPr="00D941BF">
        <w:rPr>
          <w:lang w:val="tr-TR"/>
        </w:rPr>
        <w:t xml:space="preserve">, </w:t>
      </w:r>
      <w:proofErr w:type="spellStart"/>
      <w:r w:rsidR="00C41645">
        <w:rPr>
          <w:lang w:val="tr-TR"/>
        </w:rPr>
        <w:t>with</w:t>
      </w:r>
      <w:proofErr w:type="spellEnd"/>
      <w:r w:rsidR="00C41645">
        <w:rPr>
          <w:lang w:val="tr-TR"/>
        </w:rPr>
        <w:t xml:space="preserve"> </w:t>
      </w:r>
      <w:proofErr w:type="spellStart"/>
      <w:r w:rsidRPr="00D941BF">
        <w:rPr>
          <w:lang w:val="tr-TR"/>
        </w:rPr>
        <w:t>the</w:t>
      </w:r>
      <w:proofErr w:type="spellEnd"/>
      <w:r w:rsidRPr="00D941BF">
        <w:rPr>
          <w:lang w:val="tr-TR"/>
        </w:rPr>
        <w:t xml:space="preserve"> </w:t>
      </w:r>
      <w:proofErr w:type="spellStart"/>
      <w:r w:rsidRPr="00D941BF">
        <w:rPr>
          <w:lang w:val="tr-TR"/>
        </w:rPr>
        <w:t>increasing</w:t>
      </w:r>
      <w:proofErr w:type="spellEnd"/>
      <w:r w:rsidRPr="00D941BF">
        <w:rPr>
          <w:lang w:val="tr-TR"/>
        </w:rPr>
        <w:t xml:space="preserve"> </w:t>
      </w:r>
      <w:proofErr w:type="spellStart"/>
      <w:r w:rsidRPr="00D941BF">
        <w:rPr>
          <w:lang w:val="tr-TR"/>
        </w:rPr>
        <w:t>distributed</w:t>
      </w:r>
      <w:proofErr w:type="spellEnd"/>
      <w:r w:rsidRPr="00D941BF">
        <w:rPr>
          <w:lang w:val="tr-TR"/>
        </w:rPr>
        <w:t xml:space="preserve"> </w:t>
      </w:r>
      <w:proofErr w:type="spellStart"/>
      <w:r w:rsidRPr="00D941BF">
        <w:rPr>
          <w:lang w:val="tr-TR"/>
        </w:rPr>
        <w:t>number</w:t>
      </w:r>
      <w:proofErr w:type="spellEnd"/>
      <w:r w:rsidRPr="00D941BF">
        <w:rPr>
          <w:lang w:val="tr-TR"/>
        </w:rPr>
        <w:t xml:space="preserve"> of </w:t>
      </w:r>
      <w:proofErr w:type="spellStart"/>
      <w:r w:rsidRPr="00D941BF">
        <w:rPr>
          <w:lang w:val="tr-TR"/>
        </w:rPr>
        <w:t>the</w:t>
      </w:r>
      <w:proofErr w:type="spellEnd"/>
      <w:r w:rsidRPr="00D941BF">
        <w:rPr>
          <w:lang w:val="tr-TR"/>
        </w:rPr>
        <w:t xml:space="preserve"> </w:t>
      </w:r>
      <w:proofErr w:type="spellStart"/>
      <w:r w:rsidRPr="00D941BF">
        <w:rPr>
          <w:lang w:val="tr-TR"/>
        </w:rPr>
        <w:t>PVs</w:t>
      </w:r>
      <w:proofErr w:type="spellEnd"/>
      <w:r w:rsidRPr="00D941BF">
        <w:rPr>
          <w:lang w:val="tr-TR"/>
        </w:rPr>
        <w:t xml:space="preserve"> panel in </w:t>
      </w:r>
      <w:proofErr w:type="spellStart"/>
      <w:r w:rsidRPr="00D941BF">
        <w:rPr>
          <w:lang w:val="tr-TR"/>
        </w:rPr>
        <w:t>the</w:t>
      </w:r>
      <w:proofErr w:type="spellEnd"/>
      <w:r w:rsidRPr="00D941BF">
        <w:rPr>
          <w:lang w:val="tr-TR"/>
        </w:rPr>
        <w:t xml:space="preserve"> </w:t>
      </w:r>
      <w:proofErr w:type="spellStart"/>
      <w:r w:rsidRPr="00D941BF">
        <w:rPr>
          <w:lang w:val="tr-TR"/>
        </w:rPr>
        <w:t>power</w:t>
      </w:r>
      <w:proofErr w:type="spellEnd"/>
      <w:r w:rsidRPr="00D941BF">
        <w:rPr>
          <w:lang w:val="tr-TR"/>
        </w:rPr>
        <w:t xml:space="preserve"> </w:t>
      </w:r>
      <w:proofErr w:type="spellStart"/>
      <w:r w:rsidRPr="00D941BF">
        <w:rPr>
          <w:lang w:val="tr-TR"/>
        </w:rPr>
        <w:t>distribution</w:t>
      </w:r>
      <w:proofErr w:type="spellEnd"/>
      <w:r w:rsidRPr="00D941BF">
        <w:rPr>
          <w:lang w:val="tr-TR"/>
        </w:rPr>
        <w:t xml:space="preserve"> network, PV </w:t>
      </w:r>
      <w:proofErr w:type="spellStart"/>
      <w:r w:rsidRPr="00D941BF">
        <w:rPr>
          <w:lang w:val="tr-TR"/>
        </w:rPr>
        <w:t>hosting</w:t>
      </w:r>
      <w:proofErr w:type="spellEnd"/>
      <w:r w:rsidRPr="00D941BF">
        <w:rPr>
          <w:lang w:val="tr-TR"/>
        </w:rPr>
        <w:t xml:space="preserve"> </w:t>
      </w:r>
      <w:proofErr w:type="spellStart"/>
      <w:r w:rsidRPr="00D941BF">
        <w:rPr>
          <w:lang w:val="tr-TR"/>
        </w:rPr>
        <w:t>capacity</w:t>
      </w:r>
      <w:proofErr w:type="spellEnd"/>
      <w:r w:rsidRPr="00D941BF">
        <w:rPr>
          <w:lang w:val="tr-TR"/>
        </w:rPr>
        <w:t xml:space="preserve"> </w:t>
      </w:r>
      <w:proofErr w:type="spellStart"/>
      <w:r w:rsidRPr="00D941BF">
        <w:rPr>
          <w:lang w:val="tr-TR"/>
        </w:rPr>
        <w:t>significantly</w:t>
      </w:r>
      <w:proofErr w:type="spellEnd"/>
      <w:r w:rsidRPr="00D941BF">
        <w:rPr>
          <w:lang w:val="tr-TR"/>
        </w:rPr>
        <w:t xml:space="preserve"> </w:t>
      </w:r>
      <w:proofErr w:type="spellStart"/>
      <w:r w:rsidRPr="00D941BF">
        <w:rPr>
          <w:lang w:val="tr-TR"/>
        </w:rPr>
        <w:t>increased</w:t>
      </w:r>
      <w:proofErr w:type="spellEnd"/>
      <w:r w:rsidRPr="00D941BF">
        <w:rPr>
          <w:lang w:val="tr-TR"/>
        </w:rPr>
        <w:t>.</w:t>
      </w:r>
      <w:r w:rsidR="00B077C0" w:rsidRPr="00B077C0">
        <w:rPr>
          <w:b/>
          <w:bCs/>
          <w:lang w:val="tr-TR"/>
        </w:rPr>
        <w:t>[7]</w:t>
      </w:r>
    </w:p>
    <w:p w14:paraId="5A4046CE" w14:textId="5AB6077C" w:rsidR="005E635D" w:rsidRPr="003B4D5D" w:rsidRDefault="005E635D" w:rsidP="00D941BF">
      <w:pPr>
        <w:pStyle w:val="GvdeMetni"/>
        <w:ind w:firstLine="0"/>
        <w:rPr>
          <w:lang w:val="tr-TR"/>
        </w:rPr>
      </w:pPr>
    </w:p>
    <w:p w14:paraId="5F55BCE1" w14:textId="77F48589" w:rsidR="008A55B5" w:rsidRPr="003B4D5D" w:rsidRDefault="00FC4061">
      <w:pPr>
        <w:pStyle w:val="Balk5"/>
        <w:rPr>
          <w:rFonts w:eastAsia="MS Mincho"/>
          <w:noProof w:val="0"/>
          <w:lang w:val="tr-TR"/>
        </w:rPr>
      </w:pPr>
      <w:r>
        <w:t>REFERENCES</w:t>
      </w:r>
    </w:p>
    <w:p w14:paraId="1FCCEFE0" w14:textId="6CD1B455" w:rsidR="00FC4061" w:rsidRDefault="00FC4061">
      <w:pPr>
        <w:pStyle w:val="Reference"/>
        <w:numPr>
          <w:ilvl w:val="0"/>
          <w:numId w:val="8"/>
        </w:numPr>
        <w:tabs>
          <w:tab w:val="clear" w:pos="360"/>
        </w:tabs>
        <w:spacing w:before="40" w:after="40"/>
        <w:rPr>
          <w:i/>
          <w:sz w:val="16"/>
          <w:szCs w:val="16"/>
        </w:rPr>
      </w:pPr>
      <w:r w:rsidRPr="00FC4061">
        <w:rPr>
          <w:i/>
          <w:sz w:val="16"/>
          <w:szCs w:val="16"/>
          <w:lang w:val="en-US"/>
        </w:rPr>
        <w:t>“International energy outlook 2016,” Electric Power Research Institute for U.S. Energy Information</w:t>
      </w:r>
      <w:r w:rsidRPr="00FC4061">
        <w:rPr>
          <w:i/>
          <w:sz w:val="16"/>
          <w:szCs w:val="16"/>
        </w:rPr>
        <w:t xml:space="preserve"> </w:t>
      </w:r>
      <w:r w:rsidRPr="00FC4061">
        <w:rPr>
          <w:i/>
          <w:sz w:val="16"/>
          <w:szCs w:val="16"/>
          <w:lang w:val="en-US"/>
        </w:rPr>
        <w:t>Administration., Tech. Rep. 000000003002004777, May 2016. [Online]. Available:</w:t>
      </w:r>
      <w:r w:rsidRPr="00FC4061">
        <w:rPr>
          <w:i/>
          <w:sz w:val="16"/>
          <w:szCs w:val="16"/>
        </w:rPr>
        <w:t xml:space="preserve"> </w:t>
      </w:r>
      <w:hyperlink r:id="rId12" w:history="1">
        <w:r w:rsidR="00AC6EAF" w:rsidRPr="00BB04D2">
          <w:rPr>
            <w:rStyle w:val="Kpr"/>
            <w:i/>
            <w:sz w:val="16"/>
            <w:szCs w:val="16"/>
            <w:lang w:val="en-US"/>
          </w:rPr>
          <w:t>http://www.eia.gov/forecasts/ieo/pdf/0484(2016).</w:t>
        </w:r>
        <w:r w:rsidR="00AC6EAF" w:rsidRPr="00BB04D2">
          <w:rPr>
            <w:rStyle w:val="Kpr"/>
            <w:i/>
            <w:sz w:val="16"/>
            <w:szCs w:val="16"/>
          </w:rPr>
          <w:t>pdf</w:t>
        </w:r>
      </w:hyperlink>
    </w:p>
    <w:p w14:paraId="2EB26436" w14:textId="66A5F635" w:rsidR="00AC6EAF" w:rsidRPr="00AC6EAF" w:rsidRDefault="00AC6EAF" w:rsidP="00AC6EAF">
      <w:pPr>
        <w:pStyle w:val="FootnoteBase"/>
        <w:ind w:left="360" w:hanging="360"/>
        <w:rPr>
          <w:i/>
          <w:sz w:val="16"/>
          <w:szCs w:val="16"/>
        </w:rPr>
      </w:pPr>
      <w:r>
        <w:rPr>
          <w:i/>
          <w:sz w:val="16"/>
          <w:szCs w:val="16"/>
        </w:rPr>
        <w:t xml:space="preserve">    </w:t>
      </w:r>
      <w:proofErr w:type="spellStart"/>
      <w:r w:rsidRPr="00AC6EAF">
        <w:rPr>
          <w:i/>
          <w:sz w:val="16"/>
          <w:szCs w:val="16"/>
        </w:rPr>
        <w:t>Understanding</w:t>
      </w:r>
      <w:proofErr w:type="spellEnd"/>
      <w:r w:rsidRPr="00AC6EAF">
        <w:rPr>
          <w:i/>
          <w:sz w:val="16"/>
          <w:szCs w:val="16"/>
        </w:rPr>
        <w:t xml:space="preserve"> </w:t>
      </w:r>
      <w:proofErr w:type="spellStart"/>
      <w:r w:rsidRPr="00AC6EAF">
        <w:rPr>
          <w:i/>
          <w:sz w:val="16"/>
          <w:szCs w:val="16"/>
        </w:rPr>
        <w:t>Photovoltaic</w:t>
      </w:r>
      <w:proofErr w:type="spellEnd"/>
      <w:r w:rsidRPr="00AC6EAF">
        <w:rPr>
          <w:i/>
          <w:sz w:val="16"/>
          <w:szCs w:val="16"/>
        </w:rPr>
        <w:t xml:space="preserve"> </w:t>
      </w:r>
      <w:proofErr w:type="spellStart"/>
      <w:r w:rsidRPr="00AC6EAF">
        <w:rPr>
          <w:i/>
          <w:sz w:val="16"/>
          <w:szCs w:val="16"/>
        </w:rPr>
        <w:t>Hosting</w:t>
      </w:r>
      <w:proofErr w:type="spellEnd"/>
      <w:r w:rsidRPr="00AC6EAF">
        <w:rPr>
          <w:i/>
          <w:sz w:val="16"/>
          <w:szCs w:val="16"/>
        </w:rPr>
        <w:t xml:space="preserve"> </w:t>
      </w:r>
      <w:proofErr w:type="spellStart"/>
      <w:r w:rsidRPr="00AC6EAF">
        <w:rPr>
          <w:i/>
          <w:sz w:val="16"/>
          <w:szCs w:val="16"/>
        </w:rPr>
        <w:t>Capacity</w:t>
      </w:r>
      <w:proofErr w:type="spellEnd"/>
      <w:r w:rsidRPr="00AC6EAF">
        <w:rPr>
          <w:i/>
          <w:sz w:val="16"/>
          <w:szCs w:val="16"/>
        </w:rPr>
        <w:t xml:space="preserve"> of Distribution </w:t>
      </w:r>
      <w:proofErr w:type="spellStart"/>
      <w:proofErr w:type="gramStart"/>
      <w:r w:rsidRPr="00AC6EAF">
        <w:rPr>
          <w:i/>
          <w:sz w:val="16"/>
          <w:szCs w:val="16"/>
        </w:rPr>
        <w:t>Circuit</w:t>
      </w:r>
      <w:proofErr w:type="spellEnd"/>
      <w:r w:rsidRPr="00AC6EAF">
        <w:rPr>
          <w:i/>
          <w:sz w:val="16"/>
          <w:szCs w:val="16"/>
        </w:rPr>
        <w:t xml:space="preserve"> -</w:t>
      </w:r>
      <w:proofErr w:type="gramEnd"/>
      <w:r w:rsidRPr="00AC6EAF">
        <w:rPr>
          <w:i/>
          <w:sz w:val="16"/>
          <w:szCs w:val="16"/>
        </w:rPr>
        <w:t xml:space="preserve"> 10.1109/PESGM.2015.7286510</w:t>
      </w:r>
    </w:p>
    <w:p w14:paraId="61756AAA" w14:textId="73F47AEB" w:rsidR="00FC4061" w:rsidRPr="00FC4061" w:rsidRDefault="00FC4061">
      <w:pPr>
        <w:pStyle w:val="Reference"/>
        <w:numPr>
          <w:ilvl w:val="0"/>
          <w:numId w:val="8"/>
        </w:numPr>
        <w:tabs>
          <w:tab w:val="clear" w:pos="360"/>
        </w:tabs>
        <w:spacing w:before="40" w:after="40"/>
        <w:rPr>
          <w:i/>
          <w:sz w:val="16"/>
          <w:szCs w:val="16"/>
        </w:rPr>
      </w:pPr>
      <w:r w:rsidRPr="00FC4061">
        <w:rPr>
          <w:i/>
          <w:sz w:val="16"/>
          <w:szCs w:val="16"/>
        </w:rPr>
        <w:t xml:space="preserve">J. </w:t>
      </w:r>
      <w:proofErr w:type="spellStart"/>
      <w:r w:rsidRPr="00FC4061">
        <w:rPr>
          <w:i/>
          <w:sz w:val="16"/>
          <w:szCs w:val="16"/>
        </w:rPr>
        <w:t>Seuss</w:t>
      </w:r>
      <w:proofErr w:type="spellEnd"/>
      <w:r w:rsidRPr="00FC4061">
        <w:rPr>
          <w:i/>
          <w:sz w:val="16"/>
          <w:szCs w:val="16"/>
        </w:rPr>
        <w:t xml:space="preserve">, M. J. </w:t>
      </w:r>
      <w:proofErr w:type="spellStart"/>
      <w:r w:rsidRPr="00FC4061">
        <w:rPr>
          <w:i/>
          <w:sz w:val="16"/>
          <w:szCs w:val="16"/>
        </w:rPr>
        <w:t>Reno</w:t>
      </w:r>
      <w:proofErr w:type="spellEnd"/>
      <w:r w:rsidRPr="00FC4061">
        <w:rPr>
          <w:i/>
          <w:sz w:val="16"/>
          <w:szCs w:val="16"/>
        </w:rPr>
        <w:t xml:space="preserve">, R. J. </w:t>
      </w:r>
      <w:proofErr w:type="spellStart"/>
      <w:r w:rsidRPr="00FC4061">
        <w:rPr>
          <w:i/>
          <w:sz w:val="16"/>
          <w:szCs w:val="16"/>
        </w:rPr>
        <w:t>Broderick</w:t>
      </w:r>
      <w:proofErr w:type="spellEnd"/>
      <w:r w:rsidRPr="00FC4061">
        <w:rPr>
          <w:i/>
          <w:sz w:val="16"/>
          <w:szCs w:val="16"/>
        </w:rPr>
        <w:t xml:space="preserve">, </w:t>
      </w:r>
      <w:proofErr w:type="spellStart"/>
      <w:r w:rsidRPr="00FC4061">
        <w:rPr>
          <w:i/>
          <w:sz w:val="16"/>
          <w:szCs w:val="16"/>
        </w:rPr>
        <w:t>and</w:t>
      </w:r>
      <w:proofErr w:type="spellEnd"/>
      <w:r w:rsidRPr="00FC4061">
        <w:rPr>
          <w:i/>
          <w:sz w:val="16"/>
          <w:szCs w:val="16"/>
        </w:rPr>
        <w:t xml:space="preserve"> S. </w:t>
      </w:r>
      <w:proofErr w:type="spellStart"/>
      <w:r w:rsidRPr="00FC4061">
        <w:rPr>
          <w:i/>
          <w:sz w:val="16"/>
          <w:szCs w:val="16"/>
        </w:rPr>
        <w:t>Grijalva</w:t>
      </w:r>
      <w:proofErr w:type="spellEnd"/>
      <w:r w:rsidRPr="00FC4061">
        <w:rPr>
          <w:i/>
          <w:sz w:val="16"/>
          <w:szCs w:val="16"/>
        </w:rPr>
        <w:t>, “</w:t>
      </w:r>
      <w:proofErr w:type="spellStart"/>
      <w:r w:rsidRPr="00FC4061">
        <w:rPr>
          <w:i/>
          <w:sz w:val="16"/>
          <w:szCs w:val="16"/>
        </w:rPr>
        <w:t>Improving</w:t>
      </w:r>
      <w:proofErr w:type="spellEnd"/>
      <w:r w:rsidRPr="00FC4061">
        <w:rPr>
          <w:i/>
          <w:sz w:val="16"/>
          <w:szCs w:val="16"/>
        </w:rPr>
        <w:t xml:space="preserve"> </w:t>
      </w:r>
      <w:proofErr w:type="spellStart"/>
      <w:r w:rsidRPr="00FC4061">
        <w:rPr>
          <w:i/>
          <w:sz w:val="16"/>
          <w:szCs w:val="16"/>
        </w:rPr>
        <w:t>distribution</w:t>
      </w:r>
      <w:proofErr w:type="spellEnd"/>
      <w:r w:rsidRPr="00FC4061">
        <w:rPr>
          <w:i/>
          <w:sz w:val="16"/>
          <w:szCs w:val="16"/>
        </w:rPr>
        <w:t xml:space="preserve"> network </w:t>
      </w:r>
      <w:r w:rsidR="00C41645">
        <w:rPr>
          <w:i/>
          <w:sz w:val="16"/>
          <w:szCs w:val="16"/>
        </w:rPr>
        <w:t>PV</w:t>
      </w:r>
      <w:r w:rsidRPr="00FC4061">
        <w:rPr>
          <w:i/>
          <w:sz w:val="16"/>
          <w:szCs w:val="16"/>
        </w:rPr>
        <w:t xml:space="preserve"> </w:t>
      </w:r>
      <w:proofErr w:type="spellStart"/>
      <w:r w:rsidRPr="00FC4061">
        <w:rPr>
          <w:i/>
          <w:sz w:val="16"/>
          <w:szCs w:val="16"/>
        </w:rPr>
        <w:t>hosting</w:t>
      </w:r>
      <w:proofErr w:type="spellEnd"/>
      <w:r w:rsidRPr="00FC4061">
        <w:rPr>
          <w:i/>
          <w:sz w:val="16"/>
          <w:szCs w:val="16"/>
        </w:rPr>
        <w:t xml:space="preserve"> </w:t>
      </w:r>
      <w:proofErr w:type="spellStart"/>
      <w:r w:rsidRPr="00FC4061">
        <w:rPr>
          <w:i/>
          <w:sz w:val="16"/>
          <w:szCs w:val="16"/>
        </w:rPr>
        <w:t>capacity</w:t>
      </w:r>
      <w:proofErr w:type="spellEnd"/>
      <w:r w:rsidRPr="00FC4061">
        <w:rPr>
          <w:i/>
          <w:sz w:val="16"/>
          <w:szCs w:val="16"/>
        </w:rPr>
        <w:t xml:space="preserve"> </w:t>
      </w:r>
      <w:proofErr w:type="spellStart"/>
      <w:r w:rsidRPr="00FC4061">
        <w:rPr>
          <w:i/>
          <w:sz w:val="16"/>
          <w:szCs w:val="16"/>
        </w:rPr>
        <w:t>via</w:t>
      </w:r>
      <w:proofErr w:type="spellEnd"/>
      <w:r w:rsidRPr="00FC4061">
        <w:rPr>
          <w:i/>
          <w:sz w:val="16"/>
          <w:szCs w:val="16"/>
        </w:rPr>
        <w:t xml:space="preserve"> </w:t>
      </w:r>
      <w:proofErr w:type="spellStart"/>
      <w:r w:rsidRPr="00FC4061">
        <w:rPr>
          <w:i/>
          <w:sz w:val="16"/>
          <w:szCs w:val="16"/>
        </w:rPr>
        <w:t>smart</w:t>
      </w:r>
      <w:proofErr w:type="spellEnd"/>
      <w:r w:rsidRPr="00FC4061">
        <w:rPr>
          <w:i/>
          <w:sz w:val="16"/>
          <w:szCs w:val="16"/>
        </w:rPr>
        <w:t xml:space="preserve"> inverter </w:t>
      </w:r>
      <w:proofErr w:type="spellStart"/>
      <w:r w:rsidRPr="00FC4061">
        <w:rPr>
          <w:i/>
          <w:sz w:val="16"/>
          <w:szCs w:val="16"/>
        </w:rPr>
        <w:t>reactive</w:t>
      </w:r>
      <w:proofErr w:type="spellEnd"/>
      <w:r w:rsidRPr="00FC4061">
        <w:rPr>
          <w:i/>
          <w:sz w:val="16"/>
          <w:szCs w:val="16"/>
        </w:rPr>
        <w:t xml:space="preserve"> </w:t>
      </w:r>
      <w:proofErr w:type="spellStart"/>
      <w:r w:rsidRPr="00FC4061">
        <w:rPr>
          <w:i/>
          <w:sz w:val="16"/>
          <w:szCs w:val="16"/>
        </w:rPr>
        <w:t>power</w:t>
      </w:r>
      <w:proofErr w:type="spellEnd"/>
      <w:r w:rsidRPr="00FC4061">
        <w:rPr>
          <w:i/>
          <w:sz w:val="16"/>
          <w:szCs w:val="16"/>
        </w:rPr>
        <w:t xml:space="preserve"> </w:t>
      </w:r>
      <w:proofErr w:type="spellStart"/>
      <w:r w:rsidRPr="00FC4061">
        <w:rPr>
          <w:i/>
          <w:sz w:val="16"/>
          <w:szCs w:val="16"/>
        </w:rPr>
        <w:t>support</w:t>
      </w:r>
      <w:proofErr w:type="spellEnd"/>
      <w:r w:rsidRPr="00FC4061">
        <w:rPr>
          <w:i/>
          <w:sz w:val="16"/>
          <w:szCs w:val="16"/>
        </w:rPr>
        <w:t xml:space="preserve">,” in </w:t>
      </w:r>
      <w:proofErr w:type="spellStart"/>
      <w:r w:rsidRPr="00FC4061">
        <w:rPr>
          <w:i/>
          <w:sz w:val="16"/>
          <w:szCs w:val="16"/>
        </w:rPr>
        <w:t>Proc</w:t>
      </w:r>
      <w:proofErr w:type="spellEnd"/>
      <w:r w:rsidRPr="00FC4061">
        <w:rPr>
          <w:i/>
          <w:sz w:val="16"/>
          <w:szCs w:val="16"/>
        </w:rPr>
        <w:t xml:space="preserve">. IEEE PES General Meeting, </w:t>
      </w:r>
      <w:proofErr w:type="spellStart"/>
      <w:r w:rsidRPr="00FC4061">
        <w:rPr>
          <w:i/>
          <w:sz w:val="16"/>
          <w:szCs w:val="16"/>
        </w:rPr>
        <w:t>July</w:t>
      </w:r>
      <w:proofErr w:type="spellEnd"/>
      <w:r w:rsidRPr="00FC4061">
        <w:rPr>
          <w:i/>
          <w:sz w:val="16"/>
          <w:szCs w:val="16"/>
        </w:rPr>
        <w:t xml:space="preserve"> 2015, </w:t>
      </w:r>
      <w:proofErr w:type="spellStart"/>
      <w:r w:rsidRPr="00FC4061">
        <w:rPr>
          <w:i/>
          <w:sz w:val="16"/>
          <w:szCs w:val="16"/>
        </w:rPr>
        <w:t>pp</w:t>
      </w:r>
      <w:proofErr w:type="spellEnd"/>
      <w:r w:rsidRPr="00FC4061">
        <w:rPr>
          <w:i/>
          <w:sz w:val="16"/>
          <w:szCs w:val="16"/>
        </w:rPr>
        <w:t>. 1–5.</w:t>
      </w:r>
    </w:p>
    <w:p w14:paraId="5D6F00EE" w14:textId="618C7871" w:rsidR="00CC7FA3" w:rsidRPr="00D56294" w:rsidRDefault="00FC4061">
      <w:pPr>
        <w:pStyle w:val="Reference"/>
        <w:numPr>
          <w:ilvl w:val="0"/>
          <w:numId w:val="8"/>
        </w:numPr>
        <w:tabs>
          <w:tab w:val="clear" w:pos="360"/>
        </w:tabs>
        <w:spacing w:before="40" w:after="40"/>
        <w:rPr>
          <w:i/>
          <w:sz w:val="16"/>
          <w:szCs w:val="16"/>
        </w:rPr>
      </w:pPr>
      <w:r w:rsidRPr="00FC4061">
        <w:rPr>
          <w:i/>
          <w:sz w:val="16"/>
          <w:szCs w:val="16"/>
          <w:lang w:val="en-US"/>
        </w:rPr>
        <w:t xml:space="preserve">Review on the PV Hosting Capacity in Distribution Networks by Samar Fatima, Verner </w:t>
      </w:r>
      <w:proofErr w:type="spellStart"/>
      <w:r w:rsidRPr="00FC4061">
        <w:rPr>
          <w:i/>
          <w:sz w:val="16"/>
          <w:szCs w:val="16"/>
          <w:lang w:val="en-US"/>
        </w:rPr>
        <w:t>Püvi</w:t>
      </w:r>
      <w:proofErr w:type="spellEnd"/>
      <w:r w:rsidRPr="00FC4061">
        <w:rPr>
          <w:i/>
          <w:sz w:val="16"/>
          <w:szCs w:val="16"/>
          <w:lang w:val="en-US"/>
        </w:rPr>
        <w:t xml:space="preserve">  and Matti Lehtonen, Energies 2020, 13(18), 4756; </w:t>
      </w:r>
      <w:hyperlink r:id="rId13" w:history="1">
        <w:r w:rsidR="00D56294" w:rsidRPr="00BB04D2">
          <w:rPr>
            <w:rStyle w:val="Kpr"/>
            <w:i/>
            <w:sz w:val="16"/>
            <w:szCs w:val="16"/>
            <w:lang w:val="en-US"/>
          </w:rPr>
          <w:t>https://doi.org/10.3390/en13184756</w:t>
        </w:r>
      </w:hyperlink>
    </w:p>
    <w:p w14:paraId="64F5739F" w14:textId="2402B6F6" w:rsidR="00D56294" w:rsidRDefault="00D56294">
      <w:pPr>
        <w:pStyle w:val="Reference"/>
        <w:numPr>
          <w:ilvl w:val="0"/>
          <w:numId w:val="8"/>
        </w:numPr>
        <w:tabs>
          <w:tab w:val="clear" w:pos="360"/>
        </w:tabs>
        <w:spacing w:before="40" w:after="40"/>
        <w:rPr>
          <w:i/>
          <w:sz w:val="16"/>
          <w:szCs w:val="16"/>
        </w:rPr>
      </w:pPr>
      <w:r w:rsidRPr="00D56294">
        <w:rPr>
          <w:i/>
          <w:sz w:val="16"/>
          <w:szCs w:val="16"/>
        </w:rPr>
        <w:t>https://www.renewables.ninja/</w:t>
      </w:r>
    </w:p>
    <w:p w14:paraId="1F3A6521" w14:textId="2A22AF8A" w:rsidR="00D56294" w:rsidRDefault="00000000">
      <w:pPr>
        <w:pStyle w:val="Reference"/>
        <w:numPr>
          <w:ilvl w:val="0"/>
          <w:numId w:val="8"/>
        </w:numPr>
        <w:tabs>
          <w:tab w:val="clear" w:pos="360"/>
        </w:tabs>
        <w:spacing w:before="40" w:after="40"/>
        <w:rPr>
          <w:i/>
          <w:sz w:val="16"/>
          <w:szCs w:val="16"/>
        </w:rPr>
      </w:pPr>
      <w:hyperlink r:id="rId14" w:history="1">
        <w:r w:rsidR="00B077C0" w:rsidRPr="002C2C47">
          <w:rPr>
            <w:rStyle w:val="Kpr"/>
            <w:i/>
            <w:sz w:val="16"/>
            <w:szCs w:val="16"/>
          </w:rPr>
          <w:t>https://www.nationalgridus.com/Upstate-NY-Business/Supply-Costs/Load-Profiles</w:t>
        </w:r>
      </w:hyperlink>
    </w:p>
    <w:p w14:paraId="1E2B916F" w14:textId="6A8ED08D" w:rsidR="00B077C0" w:rsidRPr="00D56294" w:rsidRDefault="00B077C0">
      <w:pPr>
        <w:pStyle w:val="Reference"/>
        <w:numPr>
          <w:ilvl w:val="0"/>
          <w:numId w:val="8"/>
        </w:numPr>
        <w:tabs>
          <w:tab w:val="clear" w:pos="360"/>
        </w:tabs>
        <w:spacing w:before="40" w:after="40"/>
        <w:rPr>
          <w:i/>
          <w:sz w:val="16"/>
          <w:szCs w:val="16"/>
        </w:rPr>
      </w:pPr>
      <w:r w:rsidRPr="00B077C0">
        <w:rPr>
          <w:i/>
          <w:sz w:val="16"/>
          <w:szCs w:val="16"/>
        </w:rPr>
        <w:t xml:space="preserve">O. Ceylan, S. </w:t>
      </w:r>
      <w:proofErr w:type="spellStart"/>
      <w:r w:rsidRPr="00B077C0">
        <w:rPr>
          <w:i/>
          <w:sz w:val="16"/>
          <w:szCs w:val="16"/>
        </w:rPr>
        <w:t>Paudyal</w:t>
      </w:r>
      <w:proofErr w:type="spellEnd"/>
      <w:r w:rsidRPr="00B077C0">
        <w:rPr>
          <w:i/>
          <w:sz w:val="16"/>
          <w:szCs w:val="16"/>
        </w:rPr>
        <w:t xml:space="preserve">, B. P. </w:t>
      </w:r>
      <w:proofErr w:type="spellStart"/>
      <w:r w:rsidRPr="00B077C0">
        <w:rPr>
          <w:i/>
          <w:sz w:val="16"/>
          <w:szCs w:val="16"/>
        </w:rPr>
        <w:t>Bhattarai</w:t>
      </w:r>
      <w:proofErr w:type="spellEnd"/>
      <w:r w:rsidRPr="00B077C0">
        <w:rPr>
          <w:i/>
          <w:sz w:val="16"/>
          <w:szCs w:val="16"/>
        </w:rPr>
        <w:t xml:space="preserve"> </w:t>
      </w:r>
      <w:proofErr w:type="spellStart"/>
      <w:r w:rsidRPr="00B077C0">
        <w:rPr>
          <w:i/>
          <w:sz w:val="16"/>
          <w:szCs w:val="16"/>
        </w:rPr>
        <w:t>and</w:t>
      </w:r>
      <w:proofErr w:type="spellEnd"/>
      <w:r w:rsidRPr="00B077C0">
        <w:rPr>
          <w:i/>
          <w:sz w:val="16"/>
          <w:szCs w:val="16"/>
        </w:rPr>
        <w:t xml:space="preserve"> K. S. </w:t>
      </w:r>
      <w:proofErr w:type="spellStart"/>
      <w:r w:rsidRPr="00B077C0">
        <w:rPr>
          <w:i/>
          <w:sz w:val="16"/>
          <w:szCs w:val="16"/>
        </w:rPr>
        <w:t>Myers</w:t>
      </w:r>
      <w:proofErr w:type="spellEnd"/>
      <w:r w:rsidRPr="00B077C0">
        <w:rPr>
          <w:i/>
          <w:sz w:val="16"/>
          <w:szCs w:val="16"/>
        </w:rPr>
        <w:t>, "</w:t>
      </w:r>
      <w:proofErr w:type="spellStart"/>
      <w:r w:rsidRPr="00B077C0">
        <w:rPr>
          <w:i/>
          <w:sz w:val="16"/>
          <w:szCs w:val="16"/>
        </w:rPr>
        <w:t>Photovoltaic</w:t>
      </w:r>
      <w:proofErr w:type="spellEnd"/>
      <w:r w:rsidRPr="00B077C0">
        <w:rPr>
          <w:i/>
          <w:sz w:val="16"/>
          <w:szCs w:val="16"/>
        </w:rPr>
        <w:t xml:space="preserve"> </w:t>
      </w:r>
      <w:proofErr w:type="spellStart"/>
      <w:r w:rsidRPr="00B077C0">
        <w:rPr>
          <w:i/>
          <w:sz w:val="16"/>
          <w:szCs w:val="16"/>
        </w:rPr>
        <w:t>hosting</w:t>
      </w:r>
      <w:proofErr w:type="spellEnd"/>
      <w:r w:rsidRPr="00B077C0">
        <w:rPr>
          <w:i/>
          <w:sz w:val="16"/>
          <w:szCs w:val="16"/>
        </w:rPr>
        <w:t xml:space="preserve"> </w:t>
      </w:r>
      <w:proofErr w:type="spellStart"/>
      <w:r w:rsidRPr="00B077C0">
        <w:rPr>
          <w:i/>
          <w:sz w:val="16"/>
          <w:szCs w:val="16"/>
        </w:rPr>
        <w:t>capacity</w:t>
      </w:r>
      <w:proofErr w:type="spellEnd"/>
      <w:r w:rsidRPr="00B077C0">
        <w:rPr>
          <w:i/>
          <w:sz w:val="16"/>
          <w:szCs w:val="16"/>
        </w:rPr>
        <w:t xml:space="preserve"> of </w:t>
      </w:r>
      <w:proofErr w:type="spellStart"/>
      <w:r w:rsidRPr="00B077C0">
        <w:rPr>
          <w:i/>
          <w:sz w:val="16"/>
          <w:szCs w:val="16"/>
        </w:rPr>
        <w:t>feeders</w:t>
      </w:r>
      <w:proofErr w:type="spellEnd"/>
      <w:r w:rsidRPr="00B077C0">
        <w:rPr>
          <w:i/>
          <w:sz w:val="16"/>
          <w:szCs w:val="16"/>
        </w:rPr>
        <w:t xml:space="preserve"> </w:t>
      </w:r>
      <w:proofErr w:type="spellStart"/>
      <w:r w:rsidRPr="00B077C0">
        <w:rPr>
          <w:i/>
          <w:sz w:val="16"/>
          <w:szCs w:val="16"/>
        </w:rPr>
        <w:t>with</w:t>
      </w:r>
      <w:proofErr w:type="spellEnd"/>
      <w:r w:rsidRPr="00B077C0">
        <w:rPr>
          <w:i/>
          <w:sz w:val="16"/>
          <w:szCs w:val="16"/>
        </w:rPr>
        <w:t xml:space="preserve"> </w:t>
      </w:r>
      <w:proofErr w:type="spellStart"/>
      <w:r w:rsidRPr="00B077C0">
        <w:rPr>
          <w:i/>
          <w:sz w:val="16"/>
          <w:szCs w:val="16"/>
        </w:rPr>
        <w:t>reactive</w:t>
      </w:r>
      <w:proofErr w:type="spellEnd"/>
      <w:r w:rsidRPr="00B077C0">
        <w:rPr>
          <w:i/>
          <w:sz w:val="16"/>
          <w:szCs w:val="16"/>
        </w:rPr>
        <w:t xml:space="preserve"> </w:t>
      </w:r>
      <w:proofErr w:type="spellStart"/>
      <w:r w:rsidRPr="00B077C0">
        <w:rPr>
          <w:i/>
          <w:sz w:val="16"/>
          <w:szCs w:val="16"/>
        </w:rPr>
        <w:t>power</w:t>
      </w:r>
      <w:proofErr w:type="spellEnd"/>
      <w:r w:rsidRPr="00B077C0">
        <w:rPr>
          <w:i/>
          <w:sz w:val="16"/>
          <w:szCs w:val="16"/>
        </w:rPr>
        <w:t xml:space="preserve"> </w:t>
      </w:r>
      <w:proofErr w:type="spellStart"/>
      <w:r w:rsidRPr="00B077C0">
        <w:rPr>
          <w:i/>
          <w:sz w:val="16"/>
          <w:szCs w:val="16"/>
        </w:rPr>
        <w:t>control</w:t>
      </w:r>
      <w:proofErr w:type="spellEnd"/>
      <w:r w:rsidRPr="00B077C0">
        <w:rPr>
          <w:i/>
          <w:sz w:val="16"/>
          <w:szCs w:val="16"/>
        </w:rPr>
        <w:t xml:space="preserve"> </w:t>
      </w:r>
      <w:proofErr w:type="spellStart"/>
      <w:r w:rsidRPr="00B077C0">
        <w:rPr>
          <w:i/>
          <w:sz w:val="16"/>
          <w:szCs w:val="16"/>
        </w:rPr>
        <w:t>and</w:t>
      </w:r>
      <w:proofErr w:type="spellEnd"/>
      <w:r w:rsidRPr="00B077C0">
        <w:rPr>
          <w:i/>
          <w:sz w:val="16"/>
          <w:szCs w:val="16"/>
        </w:rPr>
        <w:t xml:space="preserve"> tap </w:t>
      </w:r>
      <w:proofErr w:type="spellStart"/>
      <w:r w:rsidRPr="00B077C0">
        <w:rPr>
          <w:i/>
          <w:sz w:val="16"/>
          <w:szCs w:val="16"/>
        </w:rPr>
        <w:t>changers</w:t>
      </w:r>
      <w:proofErr w:type="spellEnd"/>
      <w:r w:rsidRPr="00B077C0">
        <w:rPr>
          <w:i/>
          <w:sz w:val="16"/>
          <w:szCs w:val="16"/>
        </w:rPr>
        <w:t xml:space="preserve">," 2017 IEEE PES </w:t>
      </w:r>
      <w:proofErr w:type="spellStart"/>
      <w:r w:rsidRPr="00B077C0">
        <w:rPr>
          <w:i/>
          <w:sz w:val="16"/>
          <w:szCs w:val="16"/>
        </w:rPr>
        <w:t>Innovative</w:t>
      </w:r>
      <w:proofErr w:type="spellEnd"/>
      <w:r w:rsidRPr="00B077C0">
        <w:rPr>
          <w:i/>
          <w:sz w:val="16"/>
          <w:szCs w:val="16"/>
        </w:rPr>
        <w:t xml:space="preserve"> Smart Grid Technologies Conference Europe (ISGT-Europe), 2017, </w:t>
      </w:r>
      <w:proofErr w:type="spellStart"/>
      <w:r w:rsidRPr="00B077C0">
        <w:rPr>
          <w:i/>
          <w:sz w:val="16"/>
          <w:szCs w:val="16"/>
        </w:rPr>
        <w:t>pp</w:t>
      </w:r>
      <w:proofErr w:type="spellEnd"/>
      <w:r w:rsidRPr="00B077C0">
        <w:rPr>
          <w:i/>
          <w:sz w:val="16"/>
          <w:szCs w:val="16"/>
        </w:rPr>
        <w:t xml:space="preserve">. 1-6, </w:t>
      </w:r>
      <w:proofErr w:type="spellStart"/>
      <w:r w:rsidRPr="00B077C0">
        <w:rPr>
          <w:i/>
          <w:sz w:val="16"/>
          <w:szCs w:val="16"/>
        </w:rPr>
        <w:t>doi</w:t>
      </w:r>
      <w:proofErr w:type="spellEnd"/>
      <w:r w:rsidRPr="00B077C0">
        <w:rPr>
          <w:i/>
          <w:sz w:val="16"/>
          <w:szCs w:val="16"/>
        </w:rPr>
        <w:t>: 10.1109/ISGTEurope.2017.8260243.</w:t>
      </w:r>
    </w:p>
    <w:p w14:paraId="2A30966E" w14:textId="77777777" w:rsidR="00D56294" w:rsidRPr="003B4D5D" w:rsidRDefault="00D56294" w:rsidP="00D56294">
      <w:pPr>
        <w:pStyle w:val="Reference"/>
        <w:tabs>
          <w:tab w:val="clear" w:pos="360"/>
        </w:tabs>
        <w:spacing w:before="40" w:after="40"/>
        <w:rPr>
          <w:i/>
          <w:sz w:val="16"/>
          <w:szCs w:val="16"/>
        </w:rPr>
      </w:pPr>
    </w:p>
    <w:sectPr w:rsidR="00D56294" w:rsidRPr="003B4D5D"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719B" w14:textId="77777777" w:rsidR="00CF34DD" w:rsidRDefault="00CF34DD" w:rsidP="00D42065">
      <w:r>
        <w:separator/>
      </w:r>
    </w:p>
  </w:endnote>
  <w:endnote w:type="continuationSeparator" w:id="0">
    <w:p w14:paraId="35A54344" w14:textId="77777777" w:rsidR="00CF34DD" w:rsidRDefault="00CF34DD"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28B16" w14:textId="77777777" w:rsidR="00CF34DD" w:rsidRDefault="00CF34DD" w:rsidP="00D42065">
      <w:r>
        <w:separator/>
      </w:r>
    </w:p>
  </w:footnote>
  <w:footnote w:type="continuationSeparator" w:id="0">
    <w:p w14:paraId="07D381BD" w14:textId="77777777" w:rsidR="00CF34DD" w:rsidRDefault="00CF34DD"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AF77B48"/>
    <w:multiLevelType w:val="hybridMultilevel"/>
    <w:tmpl w:val="2602A136"/>
    <w:lvl w:ilvl="0" w:tplc="FF9818F2">
      <w:start w:val="4"/>
      <w:numFmt w:val="upperRoman"/>
      <w:lvlText w:val="%1."/>
      <w:lvlJc w:val="righ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85907AB4"/>
    <w:lvl w:ilvl="0">
      <w:start w:val="1"/>
      <w:numFmt w:val="upperRoman"/>
      <w:pStyle w:val="Balk1"/>
      <w:lvlText w:val="%1."/>
      <w:lvlJc w:val="center"/>
      <w:pPr>
        <w:tabs>
          <w:tab w:val="num" w:pos="149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6"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306937725">
    <w:abstractNumId w:val="2"/>
  </w:num>
  <w:num w:numId="2" w16cid:durableId="557284131">
    <w:abstractNumId w:val="6"/>
  </w:num>
  <w:num w:numId="3" w16cid:durableId="1394039718">
    <w:abstractNumId w:val="0"/>
  </w:num>
  <w:num w:numId="4" w16cid:durableId="153836903">
    <w:abstractNumId w:val="3"/>
  </w:num>
  <w:num w:numId="5" w16cid:durableId="1715234749">
    <w:abstractNumId w:val="4"/>
  </w:num>
  <w:num w:numId="6" w16cid:durableId="1758289971">
    <w:abstractNumId w:val="7"/>
  </w:num>
  <w:num w:numId="7" w16cid:durableId="1932006215">
    <w:abstractNumId w:val="8"/>
  </w:num>
  <w:num w:numId="8" w16cid:durableId="816843082">
    <w:abstractNumId w:val="5"/>
    <w:lvlOverride w:ilvl="0">
      <w:startOverride w:val="1"/>
    </w:lvlOverride>
  </w:num>
  <w:num w:numId="9" w16cid:durableId="48289243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40B0"/>
    <w:rsid w:val="000204D1"/>
    <w:rsid w:val="00035D0F"/>
    <w:rsid w:val="00036F54"/>
    <w:rsid w:val="0004390D"/>
    <w:rsid w:val="00070D96"/>
    <w:rsid w:val="00082284"/>
    <w:rsid w:val="00091E73"/>
    <w:rsid w:val="0009305B"/>
    <w:rsid w:val="0009678B"/>
    <w:rsid w:val="000B4641"/>
    <w:rsid w:val="000B6B5B"/>
    <w:rsid w:val="000C0AF2"/>
    <w:rsid w:val="000E786E"/>
    <w:rsid w:val="000F7D07"/>
    <w:rsid w:val="0010711E"/>
    <w:rsid w:val="00113625"/>
    <w:rsid w:val="001219E3"/>
    <w:rsid w:val="00122459"/>
    <w:rsid w:val="001262F8"/>
    <w:rsid w:val="00127EDD"/>
    <w:rsid w:val="0014226C"/>
    <w:rsid w:val="00145F46"/>
    <w:rsid w:val="00163256"/>
    <w:rsid w:val="00182E9B"/>
    <w:rsid w:val="00195427"/>
    <w:rsid w:val="001B041D"/>
    <w:rsid w:val="001B3A8A"/>
    <w:rsid w:val="001C38CC"/>
    <w:rsid w:val="001E000A"/>
    <w:rsid w:val="001E46DE"/>
    <w:rsid w:val="001E79D0"/>
    <w:rsid w:val="001F2517"/>
    <w:rsid w:val="00260F8E"/>
    <w:rsid w:val="002645C0"/>
    <w:rsid w:val="00264BFA"/>
    <w:rsid w:val="00276735"/>
    <w:rsid w:val="002864A3"/>
    <w:rsid w:val="00294FA0"/>
    <w:rsid w:val="00295373"/>
    <w:rsid w:val="002B3B81"/>
    <w:rsid w:val="002D3499"/>
    <w:rsid w:val="002E26B1"/>
    <w:rsid w:val="003272BC"/>
    <w:rsid w:val="00330957"/>
    <w:rsid w:val="00343699"/>
    <w:rsid w:val="003522FD"/>
    <w:rsid w:val="0039127A"/>
    <w:rsid w:val="00394E52"/>
    <w:rsid w:val="00395721"/>
    <w:rsid w:val="003A2A6B"/>
    <w:rsid w:val="003A47B5"/>
    <w:rsid w:val="003A59A6"/>
    <w:rsid w:val="003B0F24"/>
    <w:rsid w:val="003B4D5D"/>
    <w:rsid w:val="003D6B33"/>
    <w:rsid w:val="003D6E0A"/>
    <w:rsid w:val="00403E51"/>
    <w:rsid w:val="004059FE"/>
    <w:rsid w:val="00415A3D"/>
    <w:rsid w:val="004220DF"/>
    <w:rsid w:val="00431D98"/>
    <w:rsid w:val="0043216F"/>
    <w:rsid w:val="004349D4"/>
    <w:rsid w:val="004445B3"/>
    <w:rsid w:val="00451757"/>
    <w:rsid w:val="00465E29"/>
    <w:rsid w:val="00476CB0"/>
    <w:rsid w:val="00482607"/>
    <w:rsid w:val="004917F7"/>
    <w:rsid w:val="004953D7"/>
    <w:rsid w:val="004A1AC3"/>
    <w:rsid w:val="004A7406"/>
    <w:rsid w:val="004B23DC"/>
    <w:rsid w:val="004B7D05"/>
    <w:rsid w:val="004D182A"/>
    <w:rsid w:val="004D212B"/>
    <w:rsid w:val="00504F5B"/>
    <w:rsid w:val="00515D73"/>
    <w:rsid w:val="00520B8D"/>
    <w:rsid w:val="00523628"/>
    <w:rsid w:val="00563B91"/>
    <w:rsid w:val="005676C8"/>
    <w:rsid w:val="005B520E"/>
    <w:rsid w:val="005B534E"/>
    <w:rsid w:val="005B535B"/>
    <w:rsid w:val="005C3861"/>
    <w:rsid w:val="005D473E"/>
    <w:rsid w:val="005E635D"/>
    <w:rsid w:val="005F7ECC"/>
    <w:rsid w:val="0060059C"/>
    <w:rsid w:val="006108A4"/>
    <w:rsid w:val="0061247A"/>
    <w:rsid w:val="00640F21"/>
    <w:rsid w:val="00643F5A"/>
    <w:rsid w:val="00654CCC"/>
    <w:rsid w:val="00667043"/>
    <w:rsid w:val="00682324"/>
    <w:rsid w:val="0069256B"/>
    <w:rsid w:val="006B6BE1"/>
    <w:rsid w:val="006C4648"/>
    <w:rsid w:val="006D4F85"/>
    <w:rsid w:val="006E09AB"/>
    <w:rsid w:val="006E3A9A"/>
    <w:rsid w:val="00706492"/>
    <w:rsid w:val="0072064C"/>
    <w:rsid w:val="0072790C"/>
    <w:rsid w:val="00744284"/>
    <w:rsid w:val="007442B3"/>
    <w:rsid w:val="0074631F"/>
    <w:rsid w:val="00753F7B"/>
    <w:rsid w:val="0076046C"/>
    <w:rsid w:val="0077430F"/>
    <w:rsid w:val="00787C5A"/>
    <w:rsid w:val="007919DE"/>
    <w:rsid w:val="007C0308"/>
    <w:rsid w:val="007D4D67"/>
    <w:rsid w:val="007D4DBA"/>
    <w:rsid w:val="008014D2"/>
    <w:rsid w:val="008054BC"/>
    <w:rsid w:val="00832675"/>
    <w:rsid w:val="00832A80"/>
    <w:rsid w:val="008473C3"/>
    <w:rsid w:val="00874AFB"/>
    <w:rsid w:val="00880132"/>
    <w:rsid w:val="008A55B5"/>
    <w:rsid w:val="008A642D"/>
    <w:rsid w:val="008A75C8"/>
    <w:rsid w:val="008B4A99"/>
    <w:rsid w:val="008D0353"/>
    <w:rsid w:val="008E2F35"/>
    <w:rsid w:val="00900126"/>
    <w:rsid w:val="00905432"/>
    <w:rsid w:val="00916E78"/>
    <w:rsid w:val="0092348F"/>
    <w:rsid w:val="00935C12"/>
    <w:rsid w:val="00975083"/>
    <w:rsid w:val="0097508D"/>
    <w:rsid w:val="009B5BC2"/>
    <w:rsid w:val="009F167E"/>
    <w:rsid w:val="00A0217A"/>
    <w:rsid w:val="00A130BD"/>
    <w:rsid w:val="00A15D1B"/>
    <w:rsid w:val="00A205CF"/>
    <w:rsid w:val="00A31ACE"/>
    <w:rsid w:val="00A405C5"/>
    <w:rsid w:val="00A41300"/>
    <w:rsid w:val="00A46650"/>
    <w:rsid w:val="00A510F7"/>
    <w:rsid w:val="00AA02A5"/>
    <w:rsid w:val="00AA2571"/>
    <w:rsid w:val="00AA4AA3"/>
    <w:rsid w:val="00AA7AF1"/>
    <w:rsid w:val="00AC6519"/>
    <w:rsid w:val="00AC6D54"/>
    <w:rsid w:val="00AC6EAF"/>
    <w:rsid w:val="00AF5501"/>
    <w:rsid w:val="00B0165B"/>
    <w:rsid w:val="00B077C0"/>
    <w:rsid w:val="00B16AED"/>
    <w:rsid w:val="00B327F3"/>
    <w:rsid w:val="00B525F4"/>
    <w:rsid w:val="00B553A9"/>
    <w:rsid w:val="00B863E9"/>
    <w:rsid w:val="00B954FF"/>
    <w:rsid w:val="00BC4315"/>
    <w:rsid w:val="00BC694D"/>
    <w:rsid w:val="00BE096C"/>
    <w:rsid w:val="00C30C7F"/>
    <w:rsid w:val="00C41645"/>
    <w:rsid w:val="00C871AE"/>
    <w:rsid w:val="00C94946"/>
    <w:rsid w:val="00CB531A"/>
    <w:rsid w:val="00CB66E6"/>
    <w:rsid w:val="00CC4608"/>
    <w:rsid w:val="00CC7FA3"/>
    <w:rsid w:val="00CD4FEF"/>
    <w:rsid w:val="00CE49D1"/>
    <w:rsid w:val="00CF34DD"/>
    <w:rsid w:val="00D41FD1"/>
    <w:rsid w:val="00D42065"/>
    <w:rsid w:val="00D46581"/>
    <w:rsid w:val="00D541C8"/>
    <w:rsid w:val="00D56294"/>
    <w:rsid w:val="00D9156D"/>
    <w:rsid w:val="00D941BF"/>
    <w:rsid w:val="00DB097F"/>
    <w:rsid w:val="00DE344B"/>
    <w:rsid w:val="00DE68C2"/>
    <w:rsid w:val="00DF0AE8"/>
    <w:rsid w:val="00DF723C"/>
    <w:rsid w:val="00E04A75"/>
    <w:rsid w:val="00E119B4"/>
    <w:rsid w:val="00E43387"/>
    <w:rsid w:val="00E60A9F"/>
    <w:rsid w:val="00E91219"/>
    <w:rsid w:val="00E9281A"/>
    <w:rsid w:val="00EA506F"/>
    <w:rsid w:val="00EB1FA7"/>
    <w:rsid w:val="00EB4394"/>
    <w:rsid w:val="00ED5952"/>
    <w:rsid w:val="00EE4362"/>
    <w:rsid w:val="00EF18D7"/>
    <w:rsid w:val="00EF1E8A"/>
    <w:rsid w:val="00EF3A1A"/>
    <w:rsid w:val="00EF5E88"/>
    <w:rsid w:val="00F152EA"/>
    <w:rsid w:val="00F34C95"/>
    <w:rsid w:val="00F41E81"/>
    <w:rsid w:val="00F632A6"/>
    <w:rsid w:val="00F804CD"/>
    <w:rsid w:val="00F8784D"/>
    <w:rsid w:val="00F91B30"/>
    <w:rsid w:val="00F96919"/>
    <w:rsid w:val="00FB1A05"/>
    <w:rsid w:val="00FB7F97"/>
    <w:rsid w:val="00FC4061"/>
    <w:rsid w:val="00FC7CCD"/>
    <w:rsid w:val="00FE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9CE52"/>
  <w15:docId w15:val="{327C2FD0-0DE3-43A0-92E3-A8DE3776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5"/>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7"/>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6"/>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8"/>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paragraph" w:styleId="NormalWeb">
    <w:name w:val="Normal (Web)"/>
    <w:basedOn w:val="Normal"/>
    <w:uiPriority w:val="99"/>
    <w:semiHidden/>
    <w:unhideWhenUsed/>
    <w:rsid w:val="004D182A"/>
    <w:rPr>
      <w:sz w:val="24"/>
      <w:szCs w:val="24"/>
    </w:rPr>
  </w:style>
  <w:style w:type="paragraph" w:styleId="ListeParagraf">
    <w:name w:val="List Paragraph"/>
    <w:basedOn w:val="Normal"/>
    <w:uiPriority w:val="34"/>
    <w:qFormat/>
    <w:rsid w:val="0014226C"/>
    <w:pPr>
      <w:ind w:left="720"/>
      <w:contextualSpacing/>
    </w:pPr>
  </w:style>
  <w:style w:type="paragraph" w:styleId="ResimYazs">
    <w:name w:val="caption"/>
    <w:basedOn w:val="Normal"/>
    <w:next w:val="Normal"/>
    <w:uiPriority w:val="35"/>
    <w:unhideWhenUsed/>
    <w:qFormat/>
    <w:rsid w:val="00122459"/>
    <w:pPr>
      <w:spacing w:after="200"/>
    </w:pPr>
    <w:rPr>
      <w:i/>
      <w:iCs/>
      <w:color w:val="1F497D" w:themeColor="text2"/>
      <w:sz w:val="18"/>
      <w:szCs w:val="18"/>
    </w:rPr>
  </w:style>
  <w:style w:type="character" w:styleId="zmlenmeyenBahsetme">
    <w:name w:val="Unresolved Mention"/>
    <w:basedOn w:val="VarsaylanParagrafYazTipi"/>
    <w:uiPriority w:val="99"/>
    <w:semiHidden/>
    <w:unhideWhenUsed/>
    <w:rsid w:val="00AC6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6482">
      <w:bodyDiv w:val="1"/>
      <w:marLeft w:val="0"/>
      <w:marRight w:val="0"/>
      <w:marTop w:val="0"/>
      <w:marBottom w:val="0"/>
      <w:divBdr>
        <w:top w:val="none" w:sz="0" w:space="0" w:color="auto"/>
        <w:left w:val="none" w:sz="0" w:space="0" w:color="auto"/>
        <w:bottom w:val="none" w:sz="0" w:space="0" w:color="auto"/>
        <w:right w:val="none" w:sz="0" w:space="0" w:color="auto"/>
      </w:divBdr>
    </w:div>
    <w:div w:id="99107501">
      <w:bodyDiv w:val="1"/>
      <w:marLeft w:val="0"/>
      <w:marRight w:val="0"/>
      <w:marTop w:val="0"/>
      <w:marBottom w:val="0"/>
      <w:divBdr>
        <w:top w:val="none" w:sz="0" w:space="0" w:color="auto"/>
        <w:left w:val="none" w:sz="0" w:space="0" w:color="auto"/>
        <w:bottom w:val="none" w:sz="0" w:space="0" w:color="auto"/>
        <w:right w:val="none" w:sz="0" w:space="0" w:color="auto"/>
      </w:divBdr>
      <w:divsChild>
        <w:div w:id="1350791047">
          <w:marLeft w:val="360"/>
          <w:marRight w:val="0"/>
          <w:marTop w:val="200"/>
          <w:marBottom w:val="0"/>
          <w:divBdr>
            <w:top w:val="none" w:sz="0" w:space="0" w:color="auto"/>
            <w:left w:val="none" w:sz="0" w:space="0" w:color="auto"/>
            <w:bottom w:val="none" w:sz="0" w:space="0" w:color="auto"/>
            <w:right w:val="none" w:sz="0" w:space="0" w:color="auto"/>
          </w:divBdr>
        </w:div>
        <w:div w:id="1585990605">
          <w:marLeft w:val="360"/>
          <w:marRight w:val="0"/>
          <w:marTop w:val="200"/>
          <w:marBottom w:val="0"/>
          <w:divBdr>
            <w:top w:val="none" w:sz="0" w:space="0" w:color="auto"/>
            <w:left w:val="none" w:sz="0" w:space="0" w:color="auto"/>
            <w:bottom w:val="none" w:sz="0" w:space="0" w:color="auto"/>
            <w:right w:val="none" w:sz="0" w:space="0" w:color="auto"/>
          </w:divBdr>
        </w:div>
        <w:div w:id="1830513222">
          <w:marLeft w:val="360"/>
          <w:marRight w:val="0"/>
          <w:marTop w:val="200"/>
          <w:marBottom w:val="0"/>
          <w:divBdr>
            <w:top w:val="none" w:sz="0" w:space="0" w:color="auto"/>
            <w:left w:val="none" w:sz="0" w:space="0" w:color="auto"/>
            <w:bottom w:val="none" w:sz="0" w:space="0" w:color="auto"/>
            <w:right w:val="none" w:sz="0" w:space="0" w:color="auto"/>
          </w:divBdr>
        </w:div>
        <w:div w:id="119036904">
          <w:marLeft w:val="360"/>
          <w:marRight w:val="0"/>
          <w:marTop w:val="200"/>
          <w:marBottom w:val="0"/>
          <w:divBdr>
            <w:top w:val="none" w:sz="0" w:space="0" w:color="auto"/>
            <w:left w:val="none" w:sz="0" w:space="0" w:color="auto"/>
            <w:bottom w:val="none" w:sz="0" w:space="0" w:color="auto"/>
            <w:right w:val="none" w:sz="0" w:space="0" w:color="auto"/>
          </w:divBdr>
        </w:div>
      </w:divsChild>
    </w:div>
    <w:div w:id="194729985">
      <w:bodyDiv w:val="1"/>
      <w:marLeft w:val="0"/>
      <w:marRight w:val="0"/>
      <w:marTop w:val="0"/>
      <w:marBottom w:val="0"/>
      <w:divBdr>
        <w:top w:val="none" w:sz="0" w:space="0" w:color="auto"/>
        <w:left w:val="none" w:sz="0" w:space="0" w:color="auto"/>
        <w:bottom w:val="none" w:sz="0" w:space="0" w:color="auto"/>
        <w:right w:val="none" w:sz="0" w:space="0" w:color="auto"/>
      </w:divBdr>
    </w:div>
    <w:div w:id="224803949">
      <w:bodyDiv w:val="1"/>
      <w:marLeft w:val="0"/>
      <w:marRight w:val="0"/>
      <w:marTop w:val="0"/>
      <w:marBottom w:val="0"/>
      <w:divBdr>
        <w:top w:val="none" w:sz="0" w:space="0" w:color="auto"/>
        <w:left w:val="none" w:sz="0" w:space="0" w:color="auto"/>
        <w:bottom w:val="none" w:sz="0" w:space="0" w:color="auto"/>
        <w:right w:val="none" w:sz="0" w:space="0" w:color="auto"/>
      </w:divBdr>
    </w:div>
    <w:div w:id="356856917">
      <w:bodyDiv w:val="1"/>
      <w:marLeft w:val="0"/>
      <w:marRight w:val="0"/>
      <w:marTop w:val="0"/>
      <w:marBottom w:val="0"/>
      <w:divBdr>
        <w:top w:val="none" w:sz="0" w:space="0" w:color="auto"/>
        <w:left w:val="none" w:sz="0" w:space="0" w:color="auto"/>
        <w:bottom w:val="none" w:sz="0" w:space="0" w:color="auto"/>
        <w:right w:val="none" w:sz="0" w:space="0" w:color="auto"/>
      </w:divBdr>
    </w:div>
    <w:div w:id="430204464">
      <w:bodyDiv w:val="1"/>
      <w:marLeft w:val="0"/>
      <w:marRight w:val="0"/>
      <w:marTop w:val="0"/>
      <w:marBottom w:val="0"/>
      <w:divBdr>
        <w:top w:val="none" w:sz="0" w:space="0" w:color="auto"/>
        <w:left w:val="none" w:sz="0" w:space="0" w:color="auto"/>
        <w:bottom w:val="none" w:sz="0" w:space="0" w:color="auto"/>
        <w:right w:val="none" w:sz="0" w:space="0" w:color="auto"/>
      </w:divBdr>
      <w:divsChild>
        <w:div w:id="743069052">
          <w:marLeft w:val="547"/>
          <w:marRight w:val="0"/>
          <w:marTop w:val="0"/>
          <w:marBottom w:val="0"/>
          <w:divBdr>
            <w:top w:val="none" w:sz="0" w:space="0" w:color="auto"/>
            <w:left w:val="none" w:sz="0" w:space="0" w:color="auto"/>
            <w:bottom w:val="none" w:sz="0" w:space="0" w:color="auto"/>
            <w:right w:val="none" w:sz="0" w:space="0" w:color="auto"/>
          </w:divBdr>
        </w:div>
      </w:divsChild>
    </w:div>
    <w:div w:id="658077417">
      <w:bodyDiv w:val="1"/>
      <w:marLeft w:val="0"/>
      <w:marRight w:val="0"/>
      <w:marTop w:val="0"/>
      <w:marBottom w:val="0"/>
      <w:divBdr>
        <w:top w:val="none" w:sz="0" w:space="0" w:color="auto"/>
        <w:left w:val="none" w:sz="0" w:space="0" w:color="auto"/>
        <w:bottom w:val="none" w:sz="0" w:space="0" w:color="auto"/>
        <w:right w:val="none" w:sz="0" w:space="0" w:color="auto"/>
      </w:divBdr>
      <w:divsChild>
        <w:div w:id="2061053886">
          <w:marLeft w:val="547"/>
          <w:marRight w:val="0"/>
          <w:marTop w:val="0"/>
          <w:marBottom w:val="0"/>
          <w:divBdr>
            <w:top w:val="none" w:sz="0" w:space="0" w:color="auto"/>
            <w:left w:val="none" w:sz="0" w:space="0" w:color="auto"/>
            <w:bottom w:val="none" w:sz="0" w:space="0" w:color="auto"/>
            <w:right w:val="none" w:sz="0" w:space="0" w:color="auto"/>
          </w:divBdr>
        </w:div>
      </w:divsChild>
    </w:div>
    <w:div w:id="1233392392">
      <w:bodyDiv w:val="1"/>
      <w:marLeft w:val="0"/>
      <w:marRight w:val="0"/>
      <w:marTop w:val="0"/>
      <w:marBottom w:val="0"/>
      <w:divBdr>
        <w:top w:val="none" w:sz="0" w:space="0" w:color="auto"/>
        <w:left w:val="none" w:sz="0" w:space="0" w:color="auto"/>
        <w:bottom w:val="none" w:sz="0" w:space="0" w:color="auto"/>
        <w:right w:val="none" w:sz="0" w:space="0" w:color="auto"/>
      </w:divBdr>
      <w:divsChild>
        <w:div w:id="1903560920">
          <w:marLeft w:val="547"/>
          <w:marRight w:val="0"/>
          <w:marTop w:val="0"/>
          <w:marBottom w:val="0"/>
          <w:divBdr>
            <w:top w:val="none" w:sz="0" w:space="0" w:color="auto"/>
            <w:left w:val="none" w:sz="0" w:space="0" w:color="auto"/>
            <w:bottom w:val="none" w:sz="0" w:space="0" w:color="auto"/>
            <w:right w:val="none" w:sz="0" w:space="0" w:color="auto"/>
          </w:divBdr>
        </w:div>
      </w:divsChild>
    </w:div>
    <w:div w:id="1265530701">
      <w:bodyDiv w:val="1"/>
      <w:marLeft w:val="0"/>
      <w:marRight w:val="0"/>
      <w:marTop w:val="0"/>
      <w:marBottom w:val="0"/>
      <w:divBdr>
        <w:top w:val="none" w:sz="0" w:space="0" w:color="auto"/>
        <w:left w:val="none" w:sz="0" w:space="0" w:color="auto"/>
        <w:bottom w:val="none" w:sz="0" w:space="0" w:color="auto"/>
        <w:right w:val="none" w:sz="0" w:space="0" w:color="auto"/>
      </w:divBdr>
      <w:divsChild>
        <w:div w:id="587811968">
          <w:marLeft w:val="360"/>
          <w:marRight w:val="0"/>
          <w:marTop w:val="200"/>
          <w:marBottom w:val="0"/>
          <w:divBdr>
            <w:top w:val="none" w:sz="0" w:space="0" w:color="auto"/>
            <w:left w:val="none" w:sz="0" w:space="0" w:color="auto"/>
            <w:bottom w:val="none" w:sz="0" w:space="0" w:color="auto"/>
            <w:right w:val="none" w:sz="0" w:space="0" w:color="auto"/>
          </w:divBdr>
        </w:div>
        <w:div w:id="354624083">
          <w:marLeft w:val="360"/>
          <w:marRight w:val="0"/>
          <w:marTop w:val="200"/>
          <w:marBottom w:val="0"/>
          <w:divBdr>
            <w:top w:val="none" w:sz="0" w:space="0" w:color="auto"/>
            <w:left w:val="none" w:sz="0" w:space="0" w:color="auto"/>
            <w:bottom w:val="none" w:sz="0" w:space="0" w:color="auto"/>
            <w:right w:val="none" w:sz="0" w:space="0" w:color="auto"/>
          </w:divBdr>
        </w:div>
      </w:divsChild>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673217107">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1865243625">
      <w:bodyDiv w:val="1"/>
      <w:marLeft w:val="0"/>
      <w:marRight w:val="0"/>
      <w:marTop w:val="0"/>
      <w:marBottom w:val="0"/>
      <w:divBdr>
        <w:top w:val="none" w:sz="0" w:space="0" w:color="auto"/>
        <w:left w:val="none" w:sz="0" w:space="0" w:color="auto"/>
        <w:bottom w:val="none" w:sz="0" w:space="0" w:color="auto"/>
        <w:right w:val="none" w:sz="0" w:space="0" w:color="auto"/>
      </w:divBdr>
    </w:div>
    <w:div w:id="2083284435">
      <w:bodyDiv w:val="1"/>
      <w:marLeft w:val="0"/>
      <w:marRight w:val="0"/>
      <w:marTop w:val="0"/>
      <w:marBottom w:val="0"/>
      <w:divBdr>
        <w:top w:val="none" w:sz="0" w:space="0" w:color="auto"/>
        <w:left w:val="none" w:sz="0" w:space="0" w:color="auto"/>
        <w:bottom w:val="none" w:sz="0" w:space="0" w:color="auto"/>
        <w:right w:val="none" w:sz="0" w:space="0" w:color="auto"/>
      </w:divBdr>
    </w:div>
    <w:div w:id="2091386640">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en131847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ia.gov/forecasts/ieo/pdf/0484(2016).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ationalgridus.com/Upstate-NY-Business/Supply-Costs/Load-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0D4B6-512B-4009-8C86-FEFCABC1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1113</Words>
  <Characters>6349</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ÖMER ULU</cp:lastModifiedBy>
  <cp:revision>14</cp:revision>
  <cp:lastPrinted>2016-12-22T07:50:00Z</cp:lastPrinted>
  <dcterms:created xsi:type="dcterms:W3CDTF">2023-01-07T12:18:00Z</dcterms:created>
  <dcterms:modified xsi:type="dcterms:W3CDTF">2023-02-06T18:10:00Z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28a0c625ed469e5cc3c0702250d3bafa81ccf46fd7a8e2c99946f52ade5c8869</vt:lpwstr>
  </property>
</Properties>
</file>