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60"/>
        <w:jc w:val="center"/>
      </w:pPr>
      <w:r>
        <w:rPr>
          <w:b/>
          <w:color w:val="2E74B5"/>
          <w:sz w:val="22"/>
        </w:rPr>
        <w:t>PLATAFORMA DE REEMBOLSOS</w:t>
      </w:r>
    </w:p>
    <w:p>
      <w:pPr>
        <w:spacing w:after="240"/>
        <w:jc w:val="center"/>
      </w:pPr>
      <w:r>
        <w:rPr>
          <w:b/>
          <w:color w:val="1F4D78"/>
          <w:sz w:val="48"/>
        </w:rPr>
        <w:t>Roles, flujos, reglas y matriz de estados</w:t>
      </w:r>
    </w:p>
    <w:p>
      <w:pPr>
        <w:spacing w:after="520"/>
        <w:jc w:val="center"/>
      </w:pPr>
      <w:r>
        <w:rPr>
          <w:i/>
          <w:color w:val="5B6573"/>
          <w:sz w:val="24"/>
        </w:rPr>
        <w:t>Documento funcional y de control operativo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Control documental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Valor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Versión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Fecha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 de septiembre de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Fuente verificable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Implementación vigente del repositorio reembolsos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Destinatarios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Operación, Cuentas por Pagar, Tesorería, Administración y Tecnología</w:t>
            </w:r>
          </w:p>
        </w:tc>
      </w:tr>
    </w:tbl>
    <w:p>
      <w:pPr>
        <w:spacing w:after="40"/>
      </w:pP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Nota de evidencia. </w:t>
            </w:r>
            <w:r>
              <w:rPr>
                <w:sz w:val="20"/>
              </w:rPr>
              <w:t>El repositorio no contiene los correos originales de DMF. Por ello, el apartado DMF/Menfis describe el comportamiento implementado y señala explícitamente los puntos que requieren cotejo con los correos de autorización.</w:t>
            </w:r>
          </w:p>
        </w:tc>
      </w:tr>
    </w:tbl>
    <w:p>
      <w:pPr>
        <w:pStyle w:val="Heading1"/>
      </w:pPr>
      <w:r>
        <w:t>1. Propósito y alcance</w:t>
      </w:r>
    </w:p>
    <w:p>
      <w:r>
        <w:rPr>
          <w:i w:val="0"/>
        </w:rPr>
        <w:t>La plataforma administra solicitudes de reembolso y comprobación de gastos desde su captura hasta el pago. Integra evidencias fiscales, centros de costos, aprobación multinivel, revisión de Cuentas por Pagar, autorización de pago, notificaciones y auditoría.</w:t>
      </w:r>
    </w:p>
    <w:p>
      <w:r>
        <w:rPr>
          <w:i w:val="0"/>
        </w:rPr>
        <w:t>El alcance cubre reposiciones, viáticos, comprobaciones de tarjeta empresarial, fondos fijos y gastos asociados a eventos o viajes. Las evidencias principales son XML de CFDI, PDF de factura, ticket y documentación adicional.</w:t>
      </w:r>
    </w:p>
    <w:p>
      <w:pPr>
        <w:pStyle w:val="Heading1"/>
      </w:pPr>
      <w:r>
        <w:t>2. Roles y responsabilidades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4400"/>
        <w:gridCol w:w="2710"/>
      </w:tblGrid>
      <w:tr>
        <w:tc>
          <w:tcPr>
            <w:tcW w:type="dxa" w:w="2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Rol</w:t>
            </w:r>
          </w:p>
        </w:tc>
        <w:tc>
          <w:tcPr>
            <w:tcW w:type="dxa" w:w="4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Responsabilidad</w:t>
            </w:r>
          </w:p>
        </w:tc>
        <w:tc>
          <w:tcPr>
            <w:tcW w:type="dxa" w:w="27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Alcance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Configura usuarios, perfiles, centros de costos, permisos y excepciones.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Global, conforme a permisos administrativos.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Administrador de lectura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Consulta, auditoría y seguimiento.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Sin cambios operativos.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Solicitante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Crea borradores, adjunta evidencias, envía y atiende correcciones.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Solicitudes propias o creadas por terceros autorizados.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Director / Control de Obra / Director Ejecutivo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Aprueba los pasos operativos configurados.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Solicitudes del centro de costos y paso asignado.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CXP Revisador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Revisa la documentación posterior al flujo operativo.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Cola pendiente_revision_cxp.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Subdirección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Autoriza el nivel directivo cuando está configurado.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Solicitudes asignadas por centro de costos.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CXP Pagador / Tesorería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Autoriza pago y registra semana de procesamiento.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Cola pendiente_pago.</w:t>
            </w:r>
          </w:p>
        </w:tc>
      </w:tr>
    </w:tbl>
    <w:p>
      <w:pPr>
        <w:spacing w:after="40"/>
      </w:pPr>
    </w:p>
    <w:p>
      <w:r>
        <w:rPr>
          <w:i/>
        </w:rPr>
        <w:t>Modelo de autorización: los permisos del perfil (RBAC), la asignación por centro de costos y los pasos dinámicos de aprobación se combinan. Se permiten sustituciones temporales; la bitácora conserva tanto al sustituto como al titular asignado cuando aplica.</w:t>
      </w:r>
    </w:p>
    <w:p>
      <w:pPr>
        <w:pStyle w:val="Heading1"/>
      </w:pPr>
      <w:r>
        <w:t>3. Flujo operativo autorizado</w:t>
      </w:r>
    </w:p>
    <w:p>
      <w:pPr>
        <w:pStyle w:val="Heading2"/>
      </w:pPr>
      <w:r>
        <w:t>3.1 Secuencia principal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400"/>
        <w:gridCol w:w="2460"/>
      </w:tblGrid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Etapa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Acción y control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Resultado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1. Captura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El solicitante crea borrador y adjunta XML, PDF y/o ticket. El sistema analiza y conserva datos del CFDI.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Borrador listo para envío.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2. Envío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 identifica el centro de costos y su flujo ordenado. Si hay pasos, se asigna el primero; si no, puede autoaprobarse.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Pendiente de aprobación o revisión CXP.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3. Aprobación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El asignado, sustituto o administrador decide. Se registra paso, fecha, comentario y sustitución.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Siguiente paso, CXP, corrección o rechazo.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4. Revisión CXP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CXP Revisador valida documentación.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Pendiente de pago.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5. Pago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CXP Pagador/Tesorería autoriza y asigna semana de pago.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Pagado al confirmar el pago.</w:t>
            </w:r>
          </w:p>
        </w:tc>
      </w:tr>
    </w:tbl>
    <w:p>
      <w:pPr>
        <w:spacing w:after="40"/>
      </w:pPr>
    </w:p>
    <w:p>
      <w:pPr>
        <w:pStyle w:val="Heading2"/>
      </w:pPr>
      <w:r>
        <w:t>3.2 Excepciones y controles</w:t>
      </w:r>
    </w:p>
    <w:p>
      <w:r>
        <w:rPr>
          <w:i w:val="0"/>
        </w:rPr>
        <w:t>Si el solicitante coincide con aprobadores de niveles inferiores o iguales, esos pasos pueden autoaprobarse y deben quedar justificados en la bitácora. Director Ejecutivo y Subdirección inician normalmente en Control de Obra cuando ese nivel existe. Si una persona ya aprobó el documento en una etapa previa, el siguiente paso puede autoaprobarse.</w:t>
      </w:r>
    </w:p>
    <w:p>
      <w:r>
        <w:rPr>
          <w:i w:val="0"/>
        </w:rPr>
        <w:t>La solicitud puede volver a corrección sin perder trazabilidad. Un rechazo finaliza el flujo. Toda decisión queda registrada en reimbursement_approvals.</w:t>
      </w:r>
    </w:p>
    <w:p>
      <w:pPr>
        <w:pStyle w:val="Heading1"/>
      </w:pPr>
      <w:r>
        <w:t>4. Matriz de estados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50"/>
        <w:gridCol w:w="1960"/>
        <w:gridCol w:w="2250"/>
      </w:tblGrid>
      <w:t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Estado</w:t>
            </w:r>
          </w:p>
        </w:tc>
        <w:tc>
          <w:tcPr>
            <w:tcW w:type="dxa" w:w="3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Significado</w:t>
            </w:r>
          </w:p>
        </w:tc>
        <w:tc>
          <w:tcPr>
            <w:tcW w:type="dxa" w:w="1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Actor</w:t>
            </w:r>
          </w:p>
        </w:tc>
        <w:tc>
          <w:tcPr>
            <w:tcW w:type="dxa" w:w="2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Transición típica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borrador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Captura incompleta guardada.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Solicitante / creador.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pendiente o en_evento.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en_evento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Gasto asociado a evento aún no enviado.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Participante / responsable.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pendiente.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pendiente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Esperando el paso actual.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Aprobador asignado / sustituto / administrador.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pendiente, revisión CXP, corrección o rechazo.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pendiente_revision_cxp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 espera de revisión documental/contable.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CXP Revisador.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pendiente_pago.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pendiente_pago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 espera de autorización de pago.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CXP Pagador / Tesorería.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pagado.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pagado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Pago confirmado.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CXP Pagador / Tesorería.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Fin.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requiere_correccion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Faltan datos o evidencias.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Solicitante / creador.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pendiente o rechazado.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rechazado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Solicitud no autorizada.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Aprobador autorizado.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Fin.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aprobado_* / aprobado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Marcas históricas para compatibilidad y reportes.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Sistema / auditoría.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Según contexto financiero.</w:t>
            </w:r>
          </w:p>
        </w:tc>
      </w:tr>
    </w:tbl>
    <w:p>
      <w:pPr>
        <w:spacing w:after="40"/>
      </w:pPr>
    </w:p>
    <w:p>
      <w:r>
        <w:rPr>
          <w:i/>
        </w:rPr>
        <w:t>Nota: el flujo vigente se guía principalmente por current_step_id, approval_steps, pendiente_revision_cxp y pendiente_pago. Los estados aprobado_* se conservan para compatibilidad histórica.</w:t>
      </w:r>
    </w:p>
    <w:p>
      <w:pPr>
        <w:pStyle w:val="Heading1"/>
      </w:pPr>
      <w:r>
        <w:t>5. Reglas de negocio</w:t>
      </w:r>
    </w:p>
    <w:p>
      <w:pPr>
        <w:pStyle w:val="Heading2"/>
      </w:pPr>
      <w:r>
        <w:t>5.1 Autorización y flujo</w:t>
      </w:r>
    </w:p>
    <w:p>
      <w:pPr>
        <w:pStyle w:val="ListBullet"/>
      </w:pPr>
      <w:r>
        <w:rPr>
          <w:i w:val="0"/>
        </w:rPr>
        <w:t>Un aprobador sólo actúa sobre su paso actual, salvo sustitución activa o privilegio administrativo.</w:t>
      </w:r>
    </w:p>
    <w:p>
      <w:pPr>
        <w:pStyle w:val="ListBullet"/>
      </w:pPr>
      <w:r>
        <w:rPr>
          <w:i w:val="0"/>
        </w:rPr>
        <w:t>Los pasos se ejecutan en el orden definido en approval_steps.order.</w:t>
      </w:r>
    </w:p>
    <w:p>
      <w:pPr>
        <w:pStyle w:val="ListBullet"/>
      </w:pPr>
      <w:r>
        <w:rPr>
          <w:i w:val="0"/>
        </w:rPr>
        <w:t>Al terminar los pasos operativos, la solicitud pasa a pendiente_revision_cxp antes de pago.</w:t>
      </w:r>
    </w:p>
    <w:p>
      <w:pPr>
        <w:pStyle w:val="ListBullet"/>
      </w:pPr>
      <w:r>
        <w:rPr>
          <w:i w:val="0"/>
        </w:rPr>
        <w:t>CXP Revisador actúa únicamente en pendiente_revision_cxp; CXP Pagador/Tesorería, en pendiente_pago.</w:t>
      </w:r>
    </w:p>
    <w:p>
      <w:pPr>
        <w:pStyle w:val="ListBullet"/>
      </w:pPr>
      <w:r>
        <w:rPr>
          <w:i w:val="0"/>
        </w:rPr>
        <w:t>Los usuarios consultan solicitudes según perfil, relación con el centro de costos, paso asignado o pertenencia a las colas CXP.</w:t>
      </w:r>
    </w:p>
    <w:p>
      <w:pPr>
        <w:pStyle w:val="Heading2"/>
      </w:pPr>
      <w:r>
        <w:t>5.2 Evidencia, fiscalidad y presupuesto</w:t>
      </w:r>
    </w:p>
    <w:p>
      <w:pPr>
        <w:pStyle w:val="ListBullet"/>
      </w:pPr>
      <w:r>
        <w:rPr>
          <w:i w:val="0"/>
        </w:rPr>
        <w:t>Una factura con XML conserva UUID y datos críticos del CFDI para auditoría y consulta.</w:t>
      </w:r>
    </w:p>
    <w:p>
      <w:pPr>
        <w:pStyle w:val="ListBullet"/>
      </w:pPr>
      <w:r>
        <w:rPr>
          <w:i w:val="0"/>
        </w:rPr>
        <w:t>XML y PDF son las evidencias principales de la integración de correo DMF/Menfis.</w:t>
      </w:r>
    </w:p>
    <w:p>
      <w:pPr>
        <w:pStyle w:val="ListBullet"/>
      </w:pPr>
      <w:r>
        <w:rPr>
          <w:i w:val="0"/>
        </w:rPr>
        <w:t>Los archivos de borrador tienen un límite de carga de 10 MB.</w:t>
      </w:r>
    </w:p>
    <w:p>
      <w:pPr>
        <w:pStyle w:val="ListBullet"/>
      </w:pPr>
      <w:r>
        <w:rPr>
          <w:i w:val="0"/>
        </w:rPr>
        <w:t>La solicitud se vincula a un centro de costos activo y opcionalmente a un fondo fijo o evento; la semana de pago se registra al autorizar el pago.</w:t>
      </w:r>
    </w:p>
    <w:p>
      <w:pPr>
        <w:pStyle w:val="Heading1"/>
      </w:pPr>
      <w:r>
        <w:t>6. Flujo de correo DMF/Menfis</w:t>
      </w:r>
    </w:p>
    <w:p>
      <w:r>
        <w:rPr>
          <w:i w:val="0"/>
        </w:rPr>
        <w:t>El destinatario se configura por centro de costos mediante menfis_email. El código no utiliza literalmente el nombre DMF; para este documento se trata como el buzón DMF/Menfis sujeto a validación formal.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Control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Comportamiento implementado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Disparador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Alta normal, carga masiva o reenvío posterior a corrección, siempre que exista UUID válido.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Precondición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El centro de costos debe tener menfis_email con formato válido.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Destinatario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menfis_email configurado en el centro de costos.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Asunto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Nombre original del XML sin extensión; si no existe, factura.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Adjuntos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XML original y PDF asociado; el PDF toma la base del nombre XML cuando está disponible.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Sin envío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 se envía si falta un correo válido configurado.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Tolerancia a falla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Errores de adjuntos se registran en logs sin interrumpir el flujo principal.</w:t>
            </w:r>
          </w:p>
        </w:tc>
      </w:tr>
    </w:tbl>
    <w:p>
      <w:pPr>
        <w:spacing w:after="40"/>
      </w:pPr>
    </w:p>
    <w:p>
      <w:pPr>
        <w:pStyle w:val="Heading2"/>
      </w:pPr>
      <w:r>
        <w:t>6.1 Pendientes para acreditar la autorización por correo</w:t>
      </w:r>
    </w:p>
    <w:p>
      <w:r>
        <w:rPr>
          <w:i w:val="0"/>
        </w:rPr>
        <w:t>Para convertir el flujo anterior en una transcripción formal de autorizaciones DMF, deben anexarse los correos fuente con: remitente, fecha, destinatarios, asunto, condiciones de envío, excepciones y texto aprobado. La fuente verificable disponible hoy es la implementación de MenfisInvoiceMail, CostCenter::menfisEmailAddress() y los puntos de envío del controlador.</w:t>
      </w:r>
    </w:p>
    <w:p>
      <w:pPr>
        <w:pStyle w:val="Heading1"/>
      </w:pPr>
      <w:r>
        <w:t>7. Trazabilidad, riesgos y acciones recomendadas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Tema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Control / recomendación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Trazabilidad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Conservar propietario, creador, beneficiario, paso actual, decisiones, observaciones, sustituciones, evidencias y datos fiscales. reimbursement_approvals es la bitácora funcional.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Riesgo DMF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El destinatario se configura por centro de costos y no existe una lista de autorización versionada en la base de datos.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Acción prioritaria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Incorporar los correos formales DMF como anexo controlado con fecha, versión y aprobador.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Acción técnica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Registrar destinatario, fecha, UUID, resultado y reintentos del envío; mover a cola si aumenta el volumen.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Calidad de flujo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Probar autoaprobación, sustitución, corrección, CXP, pago y envío DMF/Menfis; consolidar los estados históricos gradualmente.</w:t>
            </w:r>
          </w:p>
        </w:tc>
      </w:tr>
    </w:tbl>
    <w:p>
      <w:pPr>
        <w:spacing w:after="40"/>
      </w:pPr>
    </w:p>
    <w:p>
      <w:pPr>
        <w:pStyle w:val="Heading1"/>
      </w:pPr>
      <w:r>
        <w:t>8. Fuentes de implementación</w:t>
      </w:r>
    </w:p>
    <w:p>
      <w:pPr>
        <w:pStyle w:val="ListBullet"/>
      </w:pPr>
      <w:r>
        <w:rPr>
          <w:i w:val="0"/>
        </w:rPr>
        <w:t>app/Models/User.php; app/Models/Reimbursement.php; app/Models/CostCenter.php.</w:t>
      </w:r>
    </w:p>
    <w:p>
      <w:pPr>
        <w:pStyle w:val="ListBullet"/>
      </w:pPr>
      <w:r>
        <w:rPr>
          <w:i w:val="0"/>
        </w:rPr>
        <w:t>app/Http/Controllers/ReimbursementController.php y app/Mail/MenfisInvoiceMail.php.</w:t>
      </w:r>
    </w:p>
    <w:p>
      <w:pPr>
        <w:pStyle w:val="ListBullet"/>
      </w:pPr>
      <w:r>
        <w:rPr>
          <w:i w:val="0"/>
        </w:rPr>
        <w:t>app/Notifications/*, database/migrations/*, project_architecture.md y DOCUMENTACION_FUNCIONAL_TECNICA.md.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Documento de referencia interna  |  3 de septiembre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color w:val="6B7280"/>
        <w:sz w:val="16"/>
      </w:rPr>
      <w:t>PLATAFORMA DE REEMBOLSOS  |  GUÍA OPERATIVA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3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