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Technical Review</w:t>
      </w:r>
    </w:p>
    <w:p>
      <w:pPr>
        <w:pStyle w:val="Heading2"/>
        <w:spacing w:after="400"/>
        <w:jc w:val="center"/>
      </w:pPr>
      <w:r>
        <w:t xml:space="preserve">Smart Waste and Garbage Complaint Management System</w:t>
      </w:r>
    </w:p>
    <w:p>
      <w:pPr>
        <w:pStyle w:val="Heading1"/>
      </w:pPr>
      <w:r>
        <w:t xml:space="preserve">1. Purpose of This Review</w:t>
      </w:r>
    </w:p>
    <w:p>
      <w:pPr>
        <w:spacing w:after="150"/>
      </w:pPr>
      <w:r>
        <w:t xml:space="preserve">This document reviews the original project specification and the delivered scaffold (Django REST Framework backend + React frontend) against common production-readiness concerns: technology-choice risk, security, scalability, and gaps that should be closed before a real deployment to Punjab's municipal waste-management operations.</w:t>
      </w:r>
    </w:p>
    <w:p>
      <w:pPr>
        <w:pStyle w:val="Heading1"/>
      </w:pPr>
      <w:r>
        <w:t xml:space="preserve">2. Technology Stack Assessment</w:t>
      </w:r>
    </w:p>
    <w:p>
      <w:pPr>
        <w:pStyle w:val="Heading2"/>
      </w:pPr>
      <w:r>
        <w:t xml:space="preserve">2.1 MongoDB via djongo — the single biggest risk</w:t>
      </w:r>
    </w:p>
    <w:p>
      <w:pPr>
        <w:spacing w:after="150"/>
      </w:pPr>
      <w:r>
        <w:t xml:space="preserve">The specification mandates MongoDB as the database, accessed through Django's ORM using djongo. This is workable for a prototype/thesis-style deliverable, but carries real risk for a production system:</w:t>
      </w:r>
    </w:p>
    <w:p>
      <w:pPr>
        <w:pStyle w:val="ListParagraph"/>
        <w:numPr>
          <w:ilvl w:val="0"/>
          <w:numId w:val="1"/>
        </w:numPr>
        <w:spacing w:after="60"/>
      </w:pPr>
      <w:r>
        <w:t xml:space="preserve">djongo translates Django ORM SQL-like queries into MongoDB queries; it has historically lagged behind current Django and pymongo versions, and does not support the full Django ORM feature set (certain aggregate queries, some field lookups, and multi-table joins can be unreliable or unsupported).</w:t>
      </w:r>
    </w:p>
    <w:p>
      <w:pPr>
        <w:pStyle w:val="ListParagraph"/>
        <w:numPr>
          <w:ilvl w:val="0"/>
          <w:numId w:val="1"/>
        </w:numPr>
        <w:spacing w:after="60"/>
      </w:pPr>
      <w:r>
        <w:t xml:space="preserve">Django's migration framework was designed for relational schemas; djongo's migration support is a compatibility shim rather than a first-class feature, and schema evolution over time can become fragile.</w:t>
      </w:r>
    </w:p>
    <w:p>
      <w:pPr>
        <w:pStyle w:val="ListParagraph"/>
        <w:numPr>
          <w:ilvl w:val="0"/>
          <w:numId w:val="1"/>
        </w:numPr>
        <w:spacing w:after="60"/>
      </w:pPr>
      <w:r>
        <w:t xml:space="preserve">The scaffold delivered here is written against djongo as specified, but is intentionally kept to straightforward model definitions (foreign keys, simple queries, and standard aggregate annotations) to reduce exposure to djongo's rough edges.</w:t>
      </w:r>
    </w:p>
    <w:p>
      <w:pPr>
        <w:pStyle w:val="Heading2"/>
      </w:pPr>
      <w:r>
        <w:t xml:space="preserve">2.2 Recommended alternatives (for consideration, not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565C0" w:color="auto" w:val="clear"/>
          </w:tcPr>
          <w:p>
            <w:r>
              <w:rPr>
                <w:b/>
                <w:bCs/>
                <w:color w:val="FFFFFF"/>
              </w:rPr>
              <w:t xml:space="preserve">Option</w:t>
            </w:r>
          </w:p>
        </w:tc>
        <w:tc>
          <w:tcPr>
            <w:tcW w:type="dxa" w:w="4680"/>
            <w:shd w:fill="1565C0" w:color="auto" w:val="clear"/>
          </w:tcPr>
          <w:p>
            <w:r>
              <w:rPr>
                <w:b/>
                <w:bCs/>
                <w:color w:val="FFFFFF"/>
              </w:rPr>
              <w:t xml:space="preserve">Trade-off</w:t>
            </w:r>
          </w:p>
        </w:tc>
      </w:tr>
      <w:tr>
        <w:tc>
          <w:tcPr>
            <w:tcW w:type="dxa" w:w="4680"/>
          </w:tcPr>
          <w:p>
            <w:r>
              <w:t xml:space="preserve">Keep djongo, pin versions carefully</w:t>
            </w:r>
          </w:p>
        </w:tc>
        <w:tc>
          <w:tcPr>
            <w:tcW w:type="dxa" w:w="4680"/>
          </w:tcPr>
          <w:p>
            <w:r>
              <w:t xml:space="preserve">Lowest migration effort from current scaffold; accept ongoing compatibility risk and test thoroughly before go-live.</w:t>
            </w:r>
          </w:p>
        </w:tc>
      </w:tr>
      <w:tr>
        <w:tc>
          <w:tcPr>
            <w:tcW w:type="dxa" w:w="4680"/>
          </w:tcPr>
          <w:p>
            <w:r>
              <w:t xml:space="preserve">Switch to PostgreSQL + Django ORM</w:t>
            </w:r>
          </w:p>
        </w:tc>
        <w:tc>
          <w:tcPr>
            <w:tcW w:type="dxa" w:w="4680"/>
          </w:tcPr>
          <w:p>
            <w:r>
              <w:t xml:space="preserve">Most stable, best long-term maintainability and query support; requires a data-store change and re-justification against the original spec's "MongoDB" requirement.</w:t>
            </w:r>
          </w:p>
        </w:tc>
      </w:tr>
      <w:tr>
        <w:tc>
          <w:tcPr>
            <w:tcW w:type="dxa" w:w="4680"/>
          </w:tcPr>
          <w:p>
            <w:r>
              <w:t xml:space="preserve">Switch to MongoEngine or raw PyMongo</w:t>
            </w:r>
          </w:p>
        </w:tc>
        <w:tc>
          <w:tcPr>
            <w:tcW w:type="dxa" w:w="4680"/>
          </w:tcPr>
          <w:p>
            <w:r>
              <w:t xml:space="preserve">Keeps MongoDB, drops the ORM abstraction mismatch; more code to write for queries/aggregation but far more predictable behavior at scale.</w:t>
            </w:r>
          </w:p>
        </w:tc>
      </w:tr>
    </w:tbl>
    <w:p>
      <w:pPr>
        <w:spacing w:after="150"/>
      </w:pPr>
      <w:r>
        <w:t xml:space="preserve">Given this is a Final Year Design Project-style deliverable with an explicit MongoDB requirement, keeping djongo for the demo/defense is reasonable — but this trade-off should be stated explicitly in the FYDP report/defense, with the above alternatives named as future work.</w:t>
      </w:r>
    </w:p>
    <w:p>
      <w:pPr>
        <w:pStyle w:val="Heading1"/>
      </w:pPr>
      <w:r>
        <w:t xml:space="preserve">3. Security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565C0" w:color="auto" w:val="clear"/>
          </w:tcPr>
          <w:p>
            <w:r>
              <w:rPr>
                <w:b/>
                <w:bCs/>
                <w:color w:val="FFFFFF"/>
              </w:rPr>
              <w:t xml:space="preserve">Area</w:t>
            </w:r>
          </w:p>
        </w:tc>
        <w:tc>
          <w:tcPr>
            <w:tcW w:type="dxa" w:w="3120"/>
            <w:shd w:fill="1565C0" w:color="auto" w:val="clear"/>
          </w:tcPr>
          <w:p>
            <w:r>
              <w:rPr>
                <w:b/>
                <w:bCs/>
                <w:color w:val="FFFFFF"/>
              </w:rPr>
              <w:t xml:space="preserve">Status in Scaffold</w:t>
            </w:r>
          </w:p>
        </w:tc>
        <w:tc>
          <w:tcPr>
            <w:tcW w:type="dxa" w:w="3120"/>
            <w:shd w:fill="1565C0" w:color="auto" w:val="clear"/>
          </w:tcPr>
          <w:p>
            <w:r>
              <w:rPr>
                <w:b/>
                <w:bCs/>
                <w:color w:val="FFFFFF"/>
              </w:rPr>
              <w:t xml:space="preserve">Recommendation</w:t>
            </w:r>
          </w:p>
        </w:tc>
      </w:tr>
      <w:tr>
        <w:tc>
          <w:tcPr>
            <w:tcW w:type="dxa" w:w="3120"/>
          </w:tcPr>
          <w:p>
            <w:r>
              <w:t xml:space="preserve">Authentication</w:t>
            </w:r>
          </w:p>
        </w:tc>
        <w:tc>
          <w:tcPr>
            <w:tcW w:type="dxa" w:w="3120"/>
          </w:tcPr>
          <w:p>
            <w:r>
              <w:t xml:space="preserve">JWT access/refresh via simplejwt, rotation + blacklist enabled</w:t>
            </w:r>
          </w:p>
        </w:tc>
        <w:tc>
          <w:tcPr>
            <w:tcW w:type="dxa" w:w="3120"/>
          </w:tcPr>
          <w:p>
            <w:r>
              <w:t xml:space="preserve">Add rate limiting on /login/ and /forgot-password/ to resist brute force / enumeration.</w:t>
            </w:r>
          </w:p>
        </w:tc>
      </w:tr>
      <w:tr>
        <w:tc>
          <w:tcPr>
            <w:tcW w:type="dxa" w:w="3120"/>
          </w:tcPr>
          <w:p>
            <w:r>
              <w:t xml:space="preserve">Authorization</w:t>
            </w:r>
          </w:p>
        </w:tc>
        <w:tc>
          <w:tcPr>
            <w:tcW w:type="dxa" w:w="3120"/>
          </w:tcPr>
          <w:p>
            <w:r>
              <w:t xml:space="preserve">DRF permission classes per role (IsAdmin, IsManager, IsWorker, IsCitizen) plus object-level ownership checks</w:t>
            </w:r>
          </w:p>
        </w:tc>
        <w:tc>
          <w:tcPr>
            <w:tcW w:type="dxa" w:w="3120"/>
          </w:tcPr>
          <w:p>
            <w:r>
              <w:t xml:space="preserve">Add automated tests asserting cross-role access is denied (e.g. a Worker cannot read another worker's assignments).</w:t>
            </w:r>
          </w:p>
        </w:tc>
      </w:tr>
      <w:tr>
        <w:tc>
          <w:tcPr>
            <w:tcW w:type="dxa" w:w="3120"/>
          </w:tcPr>
          <w:p>
            <w:r>
              <w:t xml:space="preserve">Password reset</w:t>
            </w:r>
          </w:p>
        </w:tc>
        <w:tc>
          <w:tcPr>
            <w:tcW w:type="dxa" w:w="3120"/>
          </w:tcPr>
          <w:p>
            <w:r>
              <w:t xml:space="preserve">Django's default token generator; reset link/token returned in the API response rather than emailed</w:t>
            </w:r>
          </w:p>
        </w:tc>
        <w:tc>
          <w:tcPr>
            <w:tcW w:type="dxa" w:w="3120"/>
          </w:tcPr>
          <w:p>
            <w:r>
              <w:t xml:space="preserve">Wire up an actual email backend (SMTP or a transactional-email provider) before production; never return the token in the API response outside of local development.</w:t>
            </w:r>
          </w:p>
        </w:tc>
      </w:tr>
      <w:tr>
        <w:tc>
          <w:tcPr>
            <w:tcW w:type="dxa" w:w="3120"/>
          </w:tcPr>
          <w:p>
            <w:r>
              <w:t xml:space="preserve">File uploads</w:t>
            </w:r>
          </w:p>
        </w:tc>
        <w:tc>
          <w:tcPr>
            <w:tcW w:type="dxa" w:w="3120"/>
          </w:tcPr>
          <w:p>
            <w:r>
              <w:t xml:space="preserve">ImageField used for complaint/profile images; no explicit size/type validation configured yet</w:t>
            </w:r>
          </w:p>
        </w:tc>
        <w:tc>
          <w:tcPr>
            <w:tcW w:type="dxa" w:w="3120"/>
          </w:tcPr>
          <w:p>
            <w:r>
              <w:t xml:space="preserve">Add Pillow-based validation (max dimensions, max file size, allowed MIME types) at the serializer level.</w:t>
            </w:r>
          </w:p>
        </w:tc>
      </w:tr>
      <w:tr>
        <w:tc>
          <w:tcPr>
            <w:tcW w:type="dxa" w:w="3120"/>
          </w:tcPr>
          <w:p>
            <w:r>
              <w:t xml:space="preserve">CORS</w:t>
            </w:r>
          </w:p>
        </w:tc>
        <w:tc>
          <w:tcPr>
            <w:tcW w:type="dxa" w:w="3120"/>
          </w:tcPr>
          <w:p>
            <w:r>
              <w:t xml:space="preserve">Configured via django-cors-headers with an explicit allow-list from environment variables</w:t>
            </w:r>
          </w:p>
        </w:tc>
        <w:tc>
          <w:tcPr>
            <w:tcW w:type="dxa" w:w="3120"/>
          </w:tcPr>
          <w:p>
            <w:r>
              <w:t xml:space="preserve">Confirm the production allow-list contains only the deployed frontend domain(s), not a wildcard.</w:t>
            </w:r>
          </w:p>
        </w:tc>
      </w:tr>
      <w:tr>
        <w:tc>
          <w:tcPr>
            <w:tcW w:type="dxa" w:w="3120"/>
          </w:tcPr>
          <w:p>
            <w:r>
              <w:t xml:space="preserve">Secrets</w:t>
            </w:r>
          </w:p>
        </w:tc>
        <w:tc>
          <w:tcPr>
            <w:tcW w:type="dxa" w:w="3120"/>
          </w:tcPr>
          <w:p>
            <w:r>
              <w:t xml:space="preserve">SECRET_KEY and DB credentials externalized to .env</w:t>
            </w:r>
          </w:p>
        </w:tc>
        <w:tc>
          <w:tcPr>
            <w:tcW w:type="dxa" w:w="3120"/>
          </w:tcPr>
          <w:p>
            <w:r>
              <w:t xml:space="preserve">Ensure .env is never committed; rotate the default dev SECRET_KEY before any real deployment.</w:t>
            </w:r>
          </w:p>
        </w:tc>
      </w:tr>
    </w:tbl>
    <w:p>
      <w:pPr>
        <w:pStyle w:val="Heading1"/>
      </w:pPr>
      <w:r>
        <w:t xml:space="preserve">4. Scalability &amp; Data-Volume Considerations</w:t>
      </w:r>
    </w:p>
    <w:p>
      <w:pPr>
        <w:pStyle w:val="ListParagraph"/>
        <w:numPr>
          <w:ilvl w:val="0"/>
          <w:numId w:val="1"/>
        </w:numPr>
        <w:spacing w:after="60"/>
      </w:pPr>
      <w:r>
        <w:t xml:space="preserve">Complaint list/search endpoints use DjangoFilterBackend + SearchFilter + pagination — appropriate for the expected data volume, but full-text search performance should be validated against MongoDB indexes once real data volumes are known.</w:t>
      </w:r>
    </w:p>
    <w:p>
      <w:pPr>
        <w:pStyle w:val="ListParagraph"/>
        <w:numPr>
          <w:ilvl w:val="0"/>
          <w:numId w:val="1"/>
        </w:numPr>
        <w:spacing w:after="60"/>
      </w:pPr>
      <w:r>
        <w:t xml:space="preserve">The Admin dashboard's average-resolution-time calculation uses a database-side duration aggregation; this should be checked specifically against djongo's aggregation support during integration testing, as this is one of the query shapes most likely to expose djongo limitations.</w:t>
      </w:r>
    </w:p>
    <w:p>
      <w:pPr>
        <w:pStyle w:val="ListParagraph"/>
        <w:numPr>
          <w:ilvl w:val="0"/>
          <w:numId w:val="1"/>
        </w:numPr>
        <w:spacing w:after="60"/>
      </w:pPr>
      <w:r>
        <w:t xml:space="preserve">Tracking-number generation uses a row-locked counter (select_for_update) to guarantee gapless, sequential numbers under concurrent writes — this is correct but will serialize complaint creation under very high concurrent load; acceptable for a municipal-scale system, worth revisiting only if throughput becomes a bottleneck.</w:t>
      </w:r>
    </w:p>
    <w:p>
      <w:pPr>
        <w:pStyle w:val="Heading1"/>
      </w:pPr>
      <w:r>
        <w:t xml:space="preserve">5. Functional Gaps / Follow-Up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565C0" w:color="auto" w:val="clear"/>
          </w:tcPr>
          <w:p>
            <w:r>
              <w:rPr>
                <w:b/>
                <w:bCs/>
                <w:color w:val="FFFFFF"/>
              </w:rPr>
              <w:t xml:space="preserve">Gap</w:t>
            </w:r>
          </w:p>
        </w:tc>
        <w:tc>
          <w:tcPr>
            <w:tcW w:type="dxa" w:w="3120"/>
            <w:shd w:fill="1565C0" w:color="auto" w:val="clear"/>
          </w:tcPr>
          <w:p>
            <w:r>
              <w:rPr>
                <w:b/>
                <w:bCs/>
                <w:color w:val="FFFFFF"/>
              </w:rPr>
              <w:t xml:space="preserve">Current State</w:t>
            </w:r>
          </w:p>
        </w:tc>
        <w:tc>
          <w:tcPr>
            <w:tcW w:type="dxa" w:w="3120"/>
            <w:shd w:fill="1565C0" w:color="auto" w:val="clear"/>
          </w:tcPr>
          <w:p>
            <w:r>
              <w:rPr>
                <w:b/>
                <w:bCs/>
                <w:color w:val="FFFFFF"/>
              </w:rPr>
              <w:t xml:space="preserve">Suggested Next Step</w:t>
            </w:r>
          </w:p>
        </w:tc>
      </w:tr>
      <w:tr>
        <w:tc>
          <w:tcPr>
            <w:tcW w:type="dxa" w:w="3120"/>
          </w:tcPr>
          <w:p>
            <w:r>
              <w:t xml:space="preserve">Admin user/team management UI</w:t>
            </w:r>
          </w:p>
        </w:tc>
        <w:tc>
          <w:tcPr>
            <w:tcW w:type="dxa" w:w="3120"/>
          </w:tcPr>
          <w:p>
            <w:r>
              <w:t xml:space="preserve">Backend supports it via /api/auth/ and Django Admin; frontend page is a placeholder</w:t>
            </w:r>
          </w:p>
        </w:tc>
        <w:tc>
          <w:tcPr>
            <w:tcW w:type="dxa" w:w="3120"/>
          </w:tcPr>
          <w:p>
            <w:r>
              <w:t xml:space="preserve">Build a dedicated list/create/edit screen once a Team/User admin-facing endpoint set is finalized.</w:t>
            </w:r>
          </w:p>
        </w:tc>
      </w:tr>
      <w:tr>
        <w:tc>
          <w:tcPr>
            <w:tcW w:type="dxa" w:w="3120"/>
          </w:tcPr>
          <w:p>
            <w:r>
              <w:t xml:space="preserve">Email verification (optional in spec)</w:t>
            </w:r>
          </w:p>
        </w:tc>
        <w:tc>
          <w:tcPr>
            <w:tcW w:type="dxa" w:w="3120"/>
          </w:tcPr>
          <w:p>
            <w:r>
              <w:t xml:space="preserve">Not implemented</w:t>
            </w:r>
          </w:p>
        </w:tc>
        <w:tc>
          <w:tcPr>
            <w:tcW w:type="dxa" w:w="3120"/>
          </w:tcPr>
          <w:p>
            <w:r>
              <w:t xml:space="preserve">Add if required by the deployment; spec marks this optional.</w:t>
            </w:r>
          </w:p>
        </w:tc>
      </w:tr>
      <w:tr>
        <w:tc>
          <w:tcPr>
            <w:tcW w:type="dxa" w:w="3120"/>
          </w:tcPr>
          <w:p>
            <w:r>
              <w:t xml:space="preserve">Notifications delivery channel</w:t>
            </w:r>
          </w:p>
        </w:tc>
        <w:tc>
          <w:tcPr>
            <w:tcW w:type="dxa" w:w="3120"/>
          </w:tcPr>
          <w:p>
            <w:r>
              <w:t xml:space="preserve">In-app only (DB-backed), matches the spec's "Django Signals and Database Notifications" requirement</w:t>
            </w:r>
          </w:p>
        </w:tc>
        <w:tc>
          <w:tcPr>
            <w:tcW w:type="dxa" w:w="3120"/>
          </w:tcPr>
          <w:p>
            <w:r>
              <w:t xml:space="preserve">No action needed unless SMS/email/push is later required.</w:t>
            </w:r>
          </w:p>
        </w:tc>
      </w:tr>
      <w:tr>
        <w:tc>
          <w:tcPr>
            <w:tcW w:type="dxa" w:w="3120"/>
          </w:tcPr>
          <w:p>
            <w:r>
              <w:t xml:space="preserve">Automated tests</w:t>
            </w:r>
          </w:p>
        </w:tc>
        <w:tc>
          <w:tcPr>
            <w:tcW w:type="dxa" w:w="3120"/>
          </w:tcPr>
          <w:p>
            <w:r>
              <w:t xml:space="preserve">Not included in this delivery</w:t>
            </w:r>
          </w:p>
        </w:tc>
        <w:tc>
          <w:tcPr>
            <w:tcW w:type="dxa" w:w="3120"/>
          </w:tcPr>
          <w:p>
            <w:r>
              <w:t xml:space="preserve">Add unit tests for the complaint status state machine and permission boundaries before relying on this in production.</w:t>
            </w:r>
          </w:p>
        </w:tc>
      </w:tr>
      <w:tr>
        <w:tc>
          <w:tcPr>
            <w:tcW w:type="dxa" w:w="3120"/>
          </w:tcPr>
          <w:p>
            <w:r>
              <w:t xml:space="preserve">Flutter mobile client</w:t>
            </w:r>
          </w:p>
        </w:tc>
        <w:tc>
          <w:tcPr>
            <w:tcW w:type="dxa" w:w="3120"/>
          </w:tcPr>
          <w:p>
            <w:r>
              <w:t xml:space="preserve">Out of scope for this delivery (spec marks it "optional future phase")</w:t>
            </w:r>
          </w:p>
        </w:tc>
        <w:tc>
          <w:tcPr>
            <w:tcW w:type="dxa" w:w="3120"/>
          </w:tcPr>
          <w:p>
            <w:r>
              <w:t xml:space="preserve">Reuse the same REST API; mirror the citizen-portal flows first.</w:t>
            </w:r>
          </w:p>
        </w:tc>
      </w:tr>
    </w:tbl>
    <w:p>
      <w:pPr>
        <w:pStyle w:val="Heading1"/>
      </w:pPr>
      <w:r>
        <w:t xml:space="preserve">6. Code Organization Review</w:t>
      </w:r>
    </w:p>
    <w:p>
      <w:pPr>
        <w:spacing w:after="150"/>
      </w:pPr>
      <w:r>
        <w:t xml:space="preserve">The backend follows the requested app layout (accounts, complaints, locations, notifications, assignments, dashboard, reports) with a clean separation of models/serializers/views/permissions per app, matching Django and DRF conventions. Signals are used for the notification side-effects (new complaint → notify Admins) per the spec's explicit request for "Django Signals and Database Notifications." The frontend follows a conventional feature-folder React structure (pages by role, shared services layer, context for auth/session, Redux for cross-cutting notification state) and should be straightforward for a small team to extend.</w:t>
      </w:r>
    </w:p>
    <w:p>
      <w:pPr>
        <w:pStyle w:val="Heading1"/>
      </w:pPr>
      <w:r>
        <w:t xml:space="preserve">7. Overall Assessment</w:t>
      </w:r>
    </w:p>
    <w:p>
      <w:pPr>
        <w:spacing w:after="150"/>
      </w:pPr>
      <w:r>
        <w:t xml:space="preserve">The specification is thorough and internally consistent (status list, timeline events, and dashboard requirements all agree with each other). The primary technical risk is the MongoDB/djongo combination, which is a known source of friction in Django projects generally — not specific to this codebase. For an academic FYDP deliverable this is an acceptable, well-scoped trade-off; for an actual government pilot deployment, budget time to validate djongo against the specific query patterns this system needs (especially dashboard aggregations) before committing to it long-term.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2026-07-14T20:45:48.531Z</dcterms:created>
  <dcterms:modified xsi:type="dcterms:W3CDTF">2026-07-14T20:45:48.531Z</dcterms:modified>
</cp:coreProperties>
</file>

<file path=docProps/custom.xml><?xml version="1.0" encoding="utf-8"?>
<Properties xmlns="http://schemas.openxmlformats.org/officeDocument/2006/custom-properties" xmlns:vt="http://schemas.openxmlformats.org/officeDocument/2006/docPropsVTypes"/>
</file>