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5BCE" w:rsidRPr="007E2676" w:rsidRDefault="00A03B5B">
      <w:pPr>
        <w:pStyle w:val="Ttulo"/>
        <w:spacing w:after="300"/>
        <w:rPr>
          <w:lang w:val="es-CO"/>
        </w:rPr>
      </w:pPr>
      <w:r w:rsidRPr="007E2676">
        <w:rPr>
          <w:lang w:val="es-CO"/>
        </w:rPr>
        <w:t>Gestión de Costos Operativos en un Proyecto de Construcción</w:t>
      </w:r>
    </w:p>
    <w:p w:rsidR="00FA5BCE" w:rsidRPr="007E2676" w:rsidRDefault="00A03B5B">
      <w:pPr>
        <w:pStyle w:val="Ttulo1"/>
        <w:pBdr>
          <w:bottom w:val="single" w:sz="6" w:space="0" w:color="CCCCCC"/>
        </w:pBdr>
        <w:spacing w:before="360" w:after="180"/>
        <w:rPr>
          <w:lang w:val="es-CO"/>
        </w:rPr>
      </w:pPr>
      <w:r w:rsidRPr="007E2676">
        <w:rPr>
          <w:lang w:val="es-CO"/>
        </w:rPr>
        <w:t>Explicación del caso</w:t>
      </w:r>
    </w:p>
    <w:p w:rsidR="00FA5BCE" w:rsidRPr="007E2676" w:rsidRDefault="00A03B5B">
      <w:pPr>
        <w:spacing w:after="200"/>
        <w:rPr>
          <w:lang w:val="es-CO"/>
        </w:rPr>
      </w:pPr>
      <w:r w:rsidRPr="007E2676">
        <w:rPr>
          <w:lang w:val="es-CO"/>
        </w:rPr>
        <w:t>La empresa constructora enfrenta desviaciones presupuestales recurrentes porque no logra anticipar con precisión el costo de adquisición de dos tipos de equipos críticos para sus operaciones en campo. La gerencia sospecha que estos costos están relacionado</w:t>
      </w:r>
      <w:r w:rsidRPr="007E2676">
        <w:rPr>
          <w:lang w:val="es-CO"/>
        </w:rPr>
        <w:t>s con la dinámica de ciertas materias primas del mercado, pero no contaba hasta ahora con un modelo formal que confirmara esa hipótesis ni con claridad sobre cuáles insumos son realmente determinantes para cada equipo.</w:t>
      </w:r>
    </w:p>
    <w:p w:rsidR="00FA5BCE" w:rsidRPr="007E2676" w:rsidRDefault="00A03B5B">
      <w:pPr>
        <w:spacing w:after="200"/>
        <w:rPr>
          <w:lang w:val="es-CO"/>
        </w:rPr>
      </w:pPr>
      <w:r w:rsidRPr="007E2676">
        <w:rPr>
          <w:lang w:val="es-CO"/>
        </w:rPr>
        <w:t>El objetivo de este trabajo no es úni</w:t>
      </w:r>
      <w:r w:rsidRPr="007E2676">
        <w:rPr>
          <w:lang w:val="es-CO"/>
        </w:rPr>
        <w:t>camente predecir un número: es establecer un mecanismo reproducible que permita anticipar costos antes de cada fase del proyecto, reducir las desviaciones presupuestales asociadas a la volatilidad de insumos, y contar con una base analítica objetiva para e</w:t>
      </w:r>
      <w:r w:rsidRPr="007E2676">
        <w:rPr>
          <w:lang w:val="es-CO"/>
        </w:rPr>
        <w:t xml:space="preserve">valuar y comparar proveedores. Este tipo de relación —el traslado del costo de un insumo hacia el precio de un producto o servicio final— se conoce en economía como </w:t>
      </w:r>
      <w:proofErr w:type="spellStart"/>
      <w:r w:rsidRPr="007E2676">
        <w:rPr>
          <w:lang w:val="es-CO"/>
        </w:rPr>
        <w:t>cost</w:t>
      </w:r>
      <w:proofErr w:type="spellEnd"/>
      <w:r w:rsidRPr="007E2676">
        <w:rPr>
          <w:lang w:val="es-CO"/>
        </w:rPr>
        <w:t xml:space="preserve"> </w:t>
      </w:r>
      <w:proofErr w:type="spellStart"/>
      <w:r w:rsidRPr="007E2676">
        <w:rPr>
          <w:lang w:val="es-CO"/>
        </w:rPr>
        <w:t>pass-through</w:t>
      </w:r>
      <w:proofErr w:type="spellEnd"/>
      <w:r w:rsidRPr="007E2676">
        <w:rPr>
          <w:lang w:val="es-CO"/>
        </w:rPr>
        <w:t>, y es especialmente relevante en construcción, un sector reconocido por s</w:t>
      </w:r>
      <w:r w:rsidRPr="007E2676">
        <w:rPr>
          <w:lang w:val="es-CO"/>
        </w:rPr>
        <w:t>u sensibilidad a la volatilidad de materias primas como el acero, el cobre, el concreto y la madera.</w:t>
      </w:r>
    </w:p>
    <w:p w:rsidR="00FA5BCE" w:rsidRDefault="00A03B5B">
      <w:pPr>
        <w:pStyle w:val="Ttulo1"/>
        <w:pBdr>
          <w:bottom w:val="single" w:sz="6" w:space="0" w:color="CCCCCC"/>
        </w:pBdr>
        <w:spacing w:before="360" w:after="180"/>
      </w:pPr>
      <w:proofErr w:type="spellStart"/>
      <w:r>
        <w:t>Supuestos</w:t>
      </w:r>
      <w:proofErr w:type="spellEnd"/>
    </w:p>
    <w:p w:rsidR="00FA5BCE" w:rsidRPr="007E2676" w:rsidRDefault="00A03B5B">
      <w:pPr>
        <w:pStyle w:val="Prrafodelista"/>
        <w:numPr>
          <w:ilvl w:val="0"/>
          <w:numId w:val="1"/>
        </w:numPr>
        <w:spacing w:after="100"/>
        <w:rPr>
          <w:lang w:val="es-CO"/>
        </w:rPr>
      </w:pPr>
      <w:r w:rsidRPr="007E2676">
        <w:rPr>
          <w:lang w:val="es-CO"/>
        </w:rPr>
        <w:t xml:space="preserve">El archivo consolidado (historico_equipos.csv) resultó ser un </w:t>
      </w:r>
      <w:proofErr w:type="spellStart"/>
      <w:r w:rsidRPr="007E2676">
        <w:rPr>
          <w:lang w:val="es-CO"/>
        </w:rPr>
        <w:t>inner</w:t>
      </w:r>
      <w:proofErr w:type="spellEnd"/>
      <w:r w:rsidRPr="007E2676">
        <w:rPr>
          <w:lang w:val="es-CO"/>
        </w:rPr>
        <w:t xml:space="preserve"> </w:t>
      </w:r>
      <w:proofErr w:type="spellStart"/>
      <w:r w:rsidRPr="007E2676">
        <w:rPr>
          <w:lang w:val="es-CO"/>
        </w:rPr>
        <w:t>join</w:t>
      </w:r>
      <w:proofErr w:type="spellEnd"/>
      <w:r w:rsidRPr="007E2676">
        <w:rPr>
          <w:lang w:val="es-CO"/>
        </w:rPr>
        <w:t xml:space="preserve"> exacto de las tres materias primas (X, Y, Z). Al verificarlo, se encontr</w:t>
      </w:r>
      <w:r w:rsidRPr="007E2676">
        <w:rPr>
          <w:lang w:val="es-CO"/>
        </w:rPr>
        <w:t>ó que quedan fuera 0 fechas de X (0.0%), 37 de Y (1.04%) y 34 de Z (0.95%) dentro del rango común — en su mayoría coincidentes con feriados de calendario no comunes a las tres fuentes. Dado el bajo volumen, se trabajó con el consolidado tal cual, sin imput</w:t>
      </w:r>
      <w:r w:rsidRPr="007E2676">
        <w:rPr>
          <w:lang w:val="es-CO"/>
        </w:rPr>
        <w:t>ación.</w:t>
      </w:r>
    </w:p>
    <w:p w:rsidR="00FA5BCE" w:rsidRPr="007E2676" w:rsidRDefault="00A03B5B">
      <w:pPr>
        <w:pStyle w:val="Prrafodelista"/>
        <w:numPr>
          <w:ilvl w:val="0"/>
          <w:numId w:val="1"/>
        </w:numPr>
        <w:spacing w:after="100"/>
        <w:rPr>
          <w:lang w:val="es-CO"/>
        </w:rPr>
      </w:pPr>
      <w:r w:rsidRPr="007E2676">
        <w:rPr>
          <w:lang w:val="es-CO"/>
        </w:rPr>
        <w:t>La unidad y moneda de los precios no está especificada en los datos originales. Se trabajó con los valores tal como vienen, sin asignarles una moneda o escala específica — esto no afecta la validez del análisis, ya que la identificación de drivers y</w:t>
      </w:r>
      <w:r w:rsidRPr="007E2676">
        <w:rPr>
          <w:lang w:val="es-CO"/>
        </w:rPr>
        <w:t xml:space="preserve"> la proyección se basan en retornos porcentuales, que son invariantes a un </w:t>
      </w:r>
      <w:proofErr w:type="spellStart"/>
      <w:r w:rsidRPr="007E2676">
        <w:rPr>
          <w:lang w:val="es-CO"/>
        </w:rPr>
        <w:t>reescalamiento</w:t>
      </w:r>
      <w:proofErr w:type="spellEnd"/>
      <w:r w:rsidRPr="007E2676">
        <w:rPr>
          <w:lang w:val="es-CO"/>
        </w:rPr>
        <w:t xml:space="preserve"> lineal de las unidades.</w:t>
      </w:r>
    </w:p>
    <w:p w:rsidR="00FA5BCE" w:rsidRPr="007E2676" w:rsidRDefault="00A03B5B">
      <w:pPr>
        <w:pStyle w:val="Prrafodelista"/>
        <w:numPr>
          <w:ilvl w:val="0"/>
          <w:numId w:val="1"/>
        </w:numPr>
        <w:spacing w:after="100"/>
        <w:rPr>
          <w:lang w:val="es-CO"/>
        </w:rPr>
      </w:pPr>
      <w:r w:rsidRPr="007E2676">
        <w:rPr>
          <w:lang w:val="es-CO"/>
        </w:rPr>
        <w:t xml:space="preserve">La relación encontrada entre las materias primas y los equipos (Y sobre Equipo 1; Y </w:t>
      </w:r>
      <w:proofErr w:type="spellStart"/>
      <w:r w:rsidRPr="007E2676">
        <w:rPr>
          <w:lang w:val="es-CO"/>
        </w:rPr>
        <w:t>y</w:t>
      </w:r>
      <w:proofErr w:type="spellEnd"/>
      <w:r w:rsidRPr="007E2676">
        <w:rPr>
          <w:lang w:val="es-CO"/>
        </w:rPr>
        <w:t xml:space="preserve"> Z sobre Equipo 2) se interpreta como una asociación esta</w:t>
      </w:r>
      <w:r w:rsidRPr="007E2676">
        <w:rPr>
          <w:lang w:val="es-CO"/>
        </w:rPr>
        <w:t>dística, no como una relación causal probada — los datos son observacionales, no experimentales.</w:t>
      </w:r>
    </w:p>
    <w:p w:rsidR="00FA5BCE" w:rsidRPr="007E2676" w:rsidRDefault="00A03B5B">
      <w:pPr>
        <w:pStyle w:val="Prrafodelista"/>
        <w:numPr>
          <w:ilvl w:val="0"/>
          <w:numId w:val="1"/>
        </w:numPr>
        <w:spacing w:after="100"/>
        <w:rPr>
          <w:lang w:val="es-CO"/>
        </w:rPr>
      </w:pPr>
      <w:r w:rsidRPr="007E2676">
        <w:rPr>
          <w:lang w:val="es-CO"/>
        </w:rPr>
        <w:t>El coeficiente de Z sobre Equipo 2 no se mantuvo perfectamente estable en el tiempo: pasó de 0.70 a 0.87 entre la primera y la segunda mitad del histórico disp</w:t>
      </w:r>
      <w:r w:rsidRPr="007E2676">
        <w:rPr>
          <w:lang w:val="es-CO"/>
        </w:rPr>
        <w:t>onible. Se asume una relación razonablemente estable para efectos del modelo final, documentando esta variación como una limitación conocida.</w:t>
      </w:r>
    </w:p>
    <w:p w:rsidR="00FA5BCE" w:rsidRPr="007E2676" w:rsidRDefault="00A03B5B">
      <w:pPr>
        <w:pStyle w:val="Prrafodelista"/>
        <w:numPr>
          <w:ilvl w:val="0"/>
          <w:numId w:val="1"/>
        </w:numPr>
        <w:spacing w:after="100"/>
        <w:rPr>
          <w:lang w:val="es-CO"/>
        </w:rPr>
      </w:pPr>
      <w:r w:rsidRPr="007E2676">
        <w:rPr>
          <w:lang w:val="es-CO"/>
        </w:rPr>
        <w:t>Se corrige un supuesto inicial: si bien los datos de X e Y se extienden más allá del último precio de equipo conoc</w:t>
      </w:r>
      <w:r w:rsidRPr="007E2676">
        <w:rPr>
          <w:lang w:val="es-CO"/>
        </w:rPr>
        <w:t xml:space="preserve">ido (agosto de 2023), esto no representa una ventaja real de proyección. X no resultó significativo para ningún equipo; Y solo aporta aproximadamente dos semanas reales de historia adicional (hasta el 12 de septiembre de 2023); y Z, el driver dominante de </w:t>
      </w:r>
      <w:r w:rsidRPr="007E2676">
        <w:rPr>
          <w:lang w:val="es-CO"/>
        </w:rPr>
        <w:t>Equipo 2, termina exactamente el mismo día que el consolidado.</w:t>
      </w:r>
    </w:p>
    <w:p w:rsidR="00FA5BCE" w:rsidRPr="007E2676" w:rsidRDefault="00A03B5B">
      <w:pPr>
        <w:pStyle w:val="Prrafodelista"/>
        <w:numPr>
          <w:ilvl w:val="0"/>
          <w:numId w:val="1"/>
        </w:numPr>
        <w:spacing w:after="100"/>
        <w:rPr>
          <w:lang w:val="es-CO"/>
        </w:rPr>
      </w:pPr>
      <w:r w:rsidRPr="007E2676">
        <w:rPr>
          <w:lang w:val="es-CO"/>
        </w:rPr>
        <w:t>El horizonte de proyección se fijó en 4 meses, justificado en la sección correspondiente más abajo con evidencia cuantitativa, no de forma arbitraria.</w:t>
      </w:r>
    </w:p>
    <w:p w:rsidR="00FA5BCE" w:rsidRPr="007E2676" w:rsidRDefault="00A03B5B">
      <w:pPr>
        <w:pStyle w:val="Ttulo1"/>
        <w:pBdr>
          <w:bottom w:val="single" w:sz="6" w:space="0" w:color="CCCCCC"/>
        </w:pBdr>
        <w:spacing w:before="360" w:after="180"/>
        <w:rPr>
          <w:lang w:val="es-CO"/>
        </w:rPr>
      </w:pPr>
      <w:r w:rsidRPr="007E2676">
        <w:rPr>
          <w:lang w:val="es-CO"/>
        </w:rPr>
        <w:t>Formas para resolver el caso y la opción t</w:t>
      </w:r>
      <w:r w:rsidRPr="007E2676">
        <w:rPr>
          <w:lang w:val="es-CO"/>
        </w:rPr>
        <w:t>omada en esta prueba</w:t>
      </w:r>
    </w:p>
    <w:p w:rsidR="00FA5BCE" w:rsidRPr="007E2676" w:rsidRDefault="00A03B5B">
      <w:pPr>
        <w:spacing w:after="200"/>
        <w:rPr>
          <w:lang w:val="es-CO"/>
        </w:rPr>
      </w:pPr>
      <w:r w:rsidRPr="007E2676">
        <w:rPr>
          <w:lang w:val="es-CO"/>
        </w:rPr>
        <w:t>La metodología se dividió en dos pasos claramente diferenciados. En el primero se identificaron los drivers de costo mediante una regresión que incluyó las tres materias primas simultáneamente, evaluando la significancia estadística de</w:t>
      </w:r>
      <w:r w:rsidRPr="007E2676">
        <w:rPr>
          <w:lang w:val="es-CO"/>
        </w:rPr>
        <w:t xml:space="preserve"> cada una y simplificando el modelo a solo las variables significativas por equipo. En el segundo paso, ya con los </w:t>
      </w:r>
      <w:r w:rsidRPr="007E2676">
        <w:rPr>
          <w:lang w:val="es-CO"/>
        </w:rPr>
        <w:lastRenderedPageBreak/>
        <w:t>modelos fijos, se proyectó el costo futuro utilizando la volatilidad histórica propia de cada serie. Separar ambos pasos permitió validar cad</w:t>
      </w:r>
      <w:r w:rsidRPr="007E2676">
        <w:rPr>
          <w:lang w:val="es-CO"/>
        </w:rPr>
        <w:t xml:space="preserve">a uno de forma independiente — la robustez y significancia del </w:t>
      </w:r>
      <w:proofErr w:type="gramStart"/>
      <w:r w:rsidRPr="007E2676">
        <w:rPr>
          <w:lang w:val="es-CO"/>
        </w:rPr>
        <w:t>modelo</w:t>
      </w:r>
      <w:proofErr w:type="gramEnd"/>
      <w:r w:rsidRPr="007E2676">
        <w:rPr>
          <w:lang w:val="es-CO"/>
        </w:rPr>
        <w:t xml:space="preserve"> por un lado, la calidad de la proyección por otro — en vez de mezclar ambas fuentes de incertidumbre en un único paso no verificable.</w:t>
      </w:r>
    </w:p>
    <w:p w:rsidR="00FA5BCE" w:rsidRPr="007E2676" w:rsidRDefault="00A03B5B">
      <w:pPr>
        <w:spacing w:after="200"/>
        <w:rPr>
          <w:lang w:val="es-CO"/>
        </w:rPr>
      </w:pPr>
      <w:r w:rsidRPr="007E2676">
        <w:rPr>
          <w:lang w:val="es-CO"/>
        </w:rPr>
        <w:t>Antes de correlacionar cualquier variable, se compro</w:t>
      </w:r>
      <w:r w:rsidRPr="007E2676">
        <w:rPr>
          <w:lang w:val="es-CO"/>
        </w:rPr>
        <w:t xml:space="preserve">bó mediante la prueba de </w:t>
      </w:r>
      <w:proofErr w:type="spellStart"/>
      <w:r w:rsidRPr="007E2676">
        <w:rPr>
          <w:lang w:val="es-CO"/>
        </w:rPr>
        <w:t>Dickey-Fuller</w:t>
      </w:r>
      <w:proofErr w:type="spellEnd"/>
      <w:r w:rsidRPr="007E2676">
        <w:rPr>
          <w:lang w:val="es-CO"/>
        </w:rPr>
        <w:t xml:space="preserve"> Aumentada (ADF) que los precios en niveles no son estacionarios: los cinco p-valores superaron 0.05. Al transformar las series a retornos porcentuales diarios, sí resultaron estacionarias (p ≈ 0 en las cinco). Esta de</w:t>
      </w:r>
      <w:r w:rsidRPr="007E2676">
        <w:rPr>
          <w:lang w:val="es-CO"/>
        </w:rPr>
        <w:t xml:space="preserve">cisión fue clave: la correlación entre X, Y </w:t>
      </w:r>
      <w:proofErr w:type="spellStart"/>
      <w:r w:rsidRPr="007E2676">
        <w:rPr>
          <w:lang w:val="es-CO"/>
        </w:rPr>
        <w:t>y</w:t>
      </w:r>
      <w:proofErr w:type="spellEnd"/>
      <w:r w:rsidRPr="007E2676">
        <w:rPr>
          <w:lang w:val="es-CO"/>
        </w:rPr>
        <w:t xml:space="preserve"> Z en niveles llegaba a 0.84 (entre Y </w:t>
      </w:r>
      <w:proofErr w:type="spellStart"/>
      <w:r w:rsidRPr="007E2676">
        <w:rPr>
          <w:lang w:val="es-CO"/>
        </w:rPr>
        <w:t>y</w:t>
      </w:r>
      <w:proofErr w:type="spellEnd"/>
      <w:r w:rsidRPr="007E2676">
        <w:rPr>
          <w:lang w:val="es-CO"/>
        </w:rPr>
        <w:t xml:space="preserve"> Z), pero cayó a 0.09 al calcularla sobre retornos — evidencia de que buena parte de esa correlación en niveles era producto de una tendencia compartida entre las series (c</w:t>
      </w:r>
      <w:r w:rsidRPr="007E2676">
        <w:rPr>
          <w:lang w:val="es-CO"/>
        </w:rPr>
        <w:t>orrelación espuria), no de una relación real entre los insumos.</w:t>
      </w:r>
    </w:p>
    <w:p w:rsidR="00FA5BCE" w:rsidRPr="007E2676" w:rsidRDefault="00A03B5B">
      <w:pPr>
        <w:spacing w:after="200"/>
        <w:rPr>
          <w:lang w:val="es-CO"/>
        </w:rPr>
      </w:pPr>
      <w:r w:rsidRPr="007E2676">
        <w:rPr>
          <w:lang w:val="es-CO"/>
        </w:rPr>
        <w:t xml:space="preserve">Antes de adoptar el modelo final, se evaluaron y descartaron varias alternativas más sofisticadas, con evidencia concreta en cada caso. Una corrección </w:t>
      </w:r>
      <w:proofErr w:type="spellStart"/>
      <w:r w:rsidRPr="007E2676">
        <w:rPr>
          <w:lang w:val="es-CO"/>
        </w:rPr>
        <w:t>autorregresiva</w:t>
      </w:r>
      <w:proofErr w:type="spellEnd"/>
      <w:r w:rsidRPr="007E2676">
        <w:rPr>
          <w:lang w:val="es-CO"/>
        </w:rPr>
        <w:t xml:space="preserve"> de orden 1 (</w:t>
      </w:r>
      <w:proofErr w:type="gramStart"/>
      <w:r w:rsidRPr="007E2676">
        <w:rPr>
          <w:lang w:val="es-CO"/>
        </w:rPr>
        <w:t>AR(</w:t>
      </w:r>
      <w:proofErr w:type="gramEnd"/>
      <w:r w:rsidRPr="007E2676">
        <w:rPr>
          <w:lang w:val="es-CO"/>
        </w:rPr>
        <w:t>1)) sobre l</w:t>
      </w:r>
      <w:r w:rsidRPr="007E2676">
        <w:rPr>
          <w:lang w:val="es-CO"/>
        </w:rPr>
        <w:t>os residuos parecía mejorar el ajuste (R² de 0.21 a 0.39), pero al evaluarla sin acceso al residuo real del día anterior —como ocurriría en una proyección genuina— el resultado volvía a 0.21: la mejora aparente era producto de una fuga de información, no d</w:t>
      </w:r>
      <w:r w:rsidRPr="007E2676">
        <w:rPr>
          <w:lang w:val="es-CO"/>
        </w:rPr>
        <w:t>e una mejora real del modelo. Un modelo SARIMAX con las tres materias primas como variables exógenas, ajustado automáticamente, obtuvo un R² prácticamente idéntico al modelo simple (0.215 frente a 0.214), sin justificar su mayor complejidad. Una exploració</w:t>
      </w:r>
      <w:r w:rsidRPr="007E2676">
        <w:rPr>
          <w:lang w:val="es-CO"/>
        </w:rPr>
        <w:t xml:space="preserve">n de estacionalidad tipo </w:t>
      </w:r>
      <w:proofErr w:type="spellStart"/>
      <w:r w:rsidRPr="007E2676">
        <w:rPr>
          <w:lang w:val="es-CO"/>
        </w:rPr>
        <w:t>Holt-Winters</w:t>
      </w:r>
      <w:proofErr w:type="spellEnd"/>
      <w:r w:rsidRPr="007E2676">
        <w:rPr>
          <w:lang w:val="es-CO"/>
        </w:rPr>
        <w:t xml:space="preserve"> sobre Y </w:t>
      </w:r>
      <w:proofErr w:type="spellStart"/>
      <w:r w:rsidRPr="007E2676">
        <w:rPr>
          <w:lang w:val="es-CO"/>
        </w:rPr>
        <w:t>y</w:t>
      </w:r>
      <w:proofErr w:type="spellEnd"/>
      <w:r w:rsidRPr="007E2676">
        <w:rPr>
          <w:lang w:val="es-CO"/>
        </w:rPr>
        <w:t xml:space="preserve"> Z arrojó una fuerza de estacionalidad de apenas 0.04–0.05, prácticamente ruido, por lo que se descartó. También se consideró una simulación Monte Carlo para propagar la incertidumbre de los insumos hacia los </w:t>
      </w:r>
      <w:r w:rsidRPr="007E2676">
        <w:rPr>
          <w:lang w:val="es-CO"/>
        </w:rPr>
        <w:t>equipos; resultó metodológicamente más completa —permite responder preguntas de escenario—, pero equivalente en resultado al método analítico finalmente elegido, por lo que quedó documentada como mejora futura.</w:t>
      </w:r>
    </w:p>
    <w:p w:rsidR="00FA5BCE" w:rsidRPr="007E2676" w:rsidRDefault="00A03B5B">
      <w:pPr>
        <w:spacing w:after="200"/>
        <w:rPr>
          <w:lang w:val="es-CO"/>
        </w:rPr>
      </w:pPr>
      <w:r w:rsidRPr="007E2676">
        <w:rPr>
          <w:lang w:val="es-CO"/>
        </w:rPr>
        <w:t>Para la proyección se optó por un camino alea</w:t>
      </w:r>
      <w:r w:rsidRPr="007E2676">
        <w:rPr>
          <w:lang w:val="es-CO"/>
        </w:rPr>
        <w:t>torio (</w:t>
      </w:r>
      <w:proofErr w:type="spellStart"/>
      <w:r w:rsidRPr="007E2676">
        <w:rPr>
          <w:lang w:val="es-CO"/>
        </w:rPr>
        <w:t>random</w:t>
      </w:r>
      <w:proofErr w:type="spellEnd"/>
      <w:r w:rsidRPr="007E2676">
        <w:rPr>
          <w:lang w:val="es-CO"/>
        </w:rPr>
        <w:t xml:space="preserve"> </w:t>
      </w:r>
      <w:proofErr w:type="spellStart"/>
      <w:r w:rsidRPr="007E2676">
        <w:rPr>
          <w:lang w:val="es-CO"/>
        </w:rPr>
        <w:t>walk</w:t>
      </w:r>
      <w:proofErr w:type="spellEnd"/>
      <w:r w:rsidRPr="007E2676">
        <w:rPr>
          <w:lang w:val="es-CO"/>
        </w:rPr>
        <w:t>) sin tendencia (</w:t>
      </w:r>
      <w:proofErr w:type="spellStart"/>
      <w:r w:rsidRPr="007E2676">
        <w:rPr>
          <w:lang w:val="es-CO"/>
        </w:rPr>
        <w:t>drift</w:t>
      </w:r>
      <w:proofErr w:type="spellEnd"/>
      <w:r w:rsidRPr="007E2676">
        <w:rPr>
          <w:lang w:val="es-CO"/>
        </w:rPr>
        <w:t xml:space="preserve">). Esta decisión se apoya en tres evidencias: la no </w:t>
      </w:r>
      <w:proofErr w:type="spellStart"/>
      <w:r w:rsidRPr="007E2676">
        <w:rPr>
          <w:lang w:val="es-CO"/>
        </w:rPr>
        <w:t>estacionariedad</w:t>
      </w:r>
      <w:proofErr w:type="spellEnd"/>
      <w:r w:rsidRPr="007E2676">
        <w:rPr>
          <w:lang w:val="es-CO"/>
        </w:rPr>
        <w:t xml:space="preserve"> ya confirmada con ADF, la inestabilidad del </w:t>
      </w:r>
      <w:proofErr w:type="spellStart"/>
      <w:r w:rsidRPr="007E2676">
        <w:rPr>
          <w:lang w:val="es-CO"/>
        </w:rPr>
        <w:t>drift</w:t>
      </w:r>
      <w:proofErr w:type="spellEnd"/>
      <w:r w:rsidRPr="007E2676">
        <w:rPr>
          <w:lang w:val="es-CO"/>
        </w:rPr>
        <w:t xml:space="preserve"> al calcularlo sobre distintas ventanas de tiempo (cambia de signo según cuántos meses se miren hac</w:t>
      </w:r>
      <w:r w:rsidRPr="007E2676">
        <w:rPr>
          <w:lang w:val="es-CO"/>
        </w:rPr>
        <w:t>ia atrás), y la literatura académica sobre pronóstico de materias primas, que ayudó a justificar esta elección en vez de solo intuirla: un estudio de 2021 (</w:t>
      </w:r>
      <w:proofErr w:type="spellStart"/>
      <w:r w:rsidRPr="007E2676">
        <w:rPr>
          <w:lang w:val="es-CO"/>
        </w:rPr>
        <w:t>Bonato</w:t>
      </w:r>
      <w:proofErr w:type="spellEnd"/>
      <w:r w:rsidRPr="007E2676">
        <w:rPr>
          <w:lang w:val="es-CO"/>
        </w:rPr>
        <w:t xml:space="preserve">, </w:t>
      </w:r>
      <w:proofErr w:type="spellStart"/>
      <w:r w:rsidRPr="007E2676">
        <w:rPr>
          <w:lang w:val="es-CO"/>
        </w:rPr>
        <w:t>Cepni</w:t>
      </w:r>
      <w:proofErr w:type="spellEnd"/>
      <w:r w:rsidRPr="007E2676">
        <w:rPr>
          <w:lang w:val="es-CO"/>
        </w:rPr>
        <w:t xml:space="preserve">, </w:t>
      </w:r>
      <w:proofErr w:type="spellStart"/>
      <w:r w:rsidRPr="007E2676">
        <w:rPr>
          <w:lang w:val="es-CO"/>
        </w:rPr>
        <w:t>Gupta</w:t>
      </w:r>
      <w:proofErr w:type="spellEnd"/>
      <w:r w:rsidRPr="007E2676">
        <w:rPr>
          <w:lang w:val="es-CO"/>
        </w:rPr>
        <w:t xml:space="preserve"> y </w:t>
      </w:r>
      <w:proofErr w:type="spellStart"/>
      <w:r w:rsidRPr="007E2676">
        <w:rPr>
          <w:lang w:val="es-CO"/>
        </w:rPr>
        <w:t>Pierdzioch</w:t>
      </w:r>
      <w:proofErr w:type="spellEnd"/>
      <w:r w:rsidRPr="007E2676">
        <w:rPr>
          <w:lang w:val="es-CO"/>
        </w:rPr>
        <w:t xml:space="preserve">, publicado en MDPI) comparó distintos modelos contra el </w:t>
      </w:r>
      <w:proofErr w:type="spellStart"/>
      <w:r w:rsidRPr="007E2676">
        <w:rPr>
          <w:lang w:val="es-CO"/>
        </w:rPr>
        <w:t>random</w:t>
      </w:r>
      <w:proofErr w:type="spellEnd"/>
      <w:r w:rsidRPr="007E2676">
        <w:rPr>
          <w:lang w:val="es-CO"/>
        </w:rPr>
        <w:t xml:space="preserve"> </w:t>
      </w:r>
      <w:proofErr w:type="spellStart"/>
      <w:r w:rsidRPr="007E2676">
        <w:rPr>
          <w:lang w:val="es-CO"/>
        </w:rPr>
        <w:t>wal</w:t>
      </w:r>
      <w:r w:rsidRPr="007E2676">
        <w:rPr>
          <w:lang w:val="es-CO"/>
        </w:rPr>
        <w:t>k</w:t>
      </w:r>
      <w:proofErr w:type="spellEnd"/>
      <w:r w:rsidRPr="007E2676">
        <w:rPr>
          <w:lang w:val="es-CO"/>
        </w:rPr>
        <w:t xml:space="preserve"> como punto de referencia para varios </w:t>
      </w:r>
      <w:proofErr w:type="spellStart"/>
      <w:r w:rsidRPr="007E2676">
        <w:rPr>
          <w:lang w:val="es-CO"/>
        </w:rPr>
        <w:t>commodities</w:t>
      </w:r>
      <w:proofErr w:type="spellEnd"/>
      <w:r w:rsidRPr="007E2676">
        <w:rPr>
          <w:lang w:val="es-CO"/>
        </w:rPr>
        <w:t xml:space="preserve">, y encontró que superarlo de forma consistente es difícil, especialmente en metales y granos — lo cual respalda partir de </w:t>
      </w:r>
      <w:proofErr w:type="spellStart"/>
      <w:r w:rsidRPr="007E2676">
        <w:rPr>
          <w:lang w:val="es-CO"/>
        </w:rPr>
        <w:t>random</w:t>
      </w:r>
      <w:proofErr w:type="spellEnd"/>
      <w:r w:rsidRPr="007E2676">
        <w:rPr>
          <w:lang w:val="es-CO"/>
        </w:rPr>
        <w:t xml:space="preserve"> </w:t>
      </w:r>
      <w:proofErr w:type="spellStart"/>
      <w:r w:rsidRPr="007E2676">
        <w:rPr>
          <w:lang w:val="es-CO"/>
        </w:rPr>
        <w:t>walk</w:t>
      </w:r>
      <w:proofErr w:type="spellEnd"/>
      <w:r w:rsidRPr="007E2676">
        <w:rPr>
          <w:lang w:val="es-CO"/>
        </w:rPr>
        <w:t xml:space="preserve"> como opción razonable acá, en vez de forzar un modelo más complejo sin </w:t>
      </w:r>
      <w:r w:rsidRPr="007E2676">
        <w:rPr>
          <w:lang w:val="es-CO"/>
        </w:rPr>
        <w:t xml:space="preserve">evidencia de que rinda mejor. Como validación adicional, se analizó el ACF/PACF de Y </w:t>
      </w:r>
      <w:proofErr w:type="spellStart"/>
      <w:r w:rsidRPr="007E2676">
        <w:rPr>
          <w:lang w:val="es-CO"/>
        </w:rPr>
        <w:t>y</w:t>
      </w:r>
      <w:proofErr w:type="spellEnd"/>
      <w:r w:rsidRPr="007E2676">
        <w:rPr>
          <w:lang w:val="es-CO"/>
        </w:rPr>
        <w:t xml:space="preserve"> Z: Z resultó prácticamente plano, mientras que Y mostró una señal real en el rezago 5 (</w:t>
      </w:r>
      <w:proofErr w:type="spellStart"/>
      <w:r w:rsidRPr="007E2676">
        <w:rPr>
          <w:lang w:val="es-CO"/>
        </w:rPr>
        <w:t>autocorrelación</w:t>
      </w:r>
      <w:proofErr w:type="spellEnd"/>
      <w:r w:rsidRPr="007E2676">
        <w:rPr>
          <w:lang w:val="es-CO"/>
        </w:rPr>
        <w:t xml:space="preserve"> ≈0.2), compatible con un patrón semanal. Al comparar formalmente </w:t>
      </w:r>
      <w:proofErr w:type="spellStart"/>
      <w:r w:rsidRPr="007E2676">
        <w:rPr>
          <w:lang w:val="es-CO"/>
        </w:rPr>
        <w:t>r</w:t>
      </w:r>
      <w:r w:rsidRPr="007E2676">
        <w:rPr>
          <w:lang w:val="es-CO"/>
        </w:rPr>
        <w:t>andom</w:t>
      </w:r>
      <w:proofErr w:type="spellEnd"/>
      <w:r w:rsidRPr="007E2676">
        <w:rPr>
          <w:lang w:val="es-CO"/>
        </w:rPr>
        <w:t xml:space="preserve"> </w:t>
      </w:r>
      <w:proofErr w:type="spellStart"/>
      <w:r w:rsidRPr="007E2676">
        <w:rPr>
          <w:lang w:val="es-CO"/>
        </w:rPr>
        <w:t>walk</w:t>
      </w:r>
      <w:proofErr w:type="spellEnd"/>
      <w:r w:rsidRPr="007E2676">
        <w:rPr>
          <w:lang w:val="es-CO"/>
        </w:rPr>
        <w:t xml:space="preserve"> contra un modelo ARIMA ajustado sobre cada serie, para Z ambos métodos resultaron equivalentes (RMSE de 251.54 frente a 250.94), mientras que para Y el </w:t>
      </w:r>
      <w:proofErr w:type="gramStart"/>
      <w:r w:rsidRPr="007E2676">
        <w:rPr>
          <w:lang w:val="es-CO"/>
        </w:rPr>
        <w:t>ARIMA(</w:t>
      </w:r>
      <w:proofErr w:type="gramEnd"/>
      <w:r w:rsidRPr="007E2676">
        <w:rPr>
          <w:lang w:val="es-CO"/>
        </w:rPr>
        <w:t xml:space="preserve">3,1,3) redujo el error en cerca de un 14% (RMSE de 189.88 a 162.92) — una mejora real, </w:t>
      </w:r>
      <w:r w:rsidRPr="007E2676">
        <w:rPr>
          <w:lang w:val="es-CO"/>
        </w:rPr>
        <w:t xml:space="preserve">no ruido. Aun así, se mantuvo </w:t>
      </w:r>
      <w:proofErr w:type="spellStart"/>
      <w:r w:rsidRPr="007E2676">
        <w:rPr>
          <w:lang w:val="es-CO"/>
        </w:rPr>
        <w:t>random</w:t>
      </w:r>
      <w:proofErr w:type="spellEnd"/>
      <w:r w:rsidRPr="007E2676">
        <w:rPr>
          <w:lang w:val="es-CO"/>
        </w:rPr>
        <w:t xml:space="preserve"> </w:t>
      </w:r>
      <w:proofErr w:type="spellStart"/>
      <w:r w:rsidRPr="007E2676">
        <w:rPr>
          <w:lang w:val="es-CO"/>
        </w:rPr>
        <w:t>walk</w:t>
      </w:r>
      <w:proofErr w:type="spellEnd"/>
      <w:r w:rsidRPr="007E2676">
        <w:rPr>
          <w:lang w:val="es-CO"/>
        </w:rPr>
        <w:t xml:space="preserve"> para ambas series: la banda de incertidumbre de cada equipo se calcula sobre la volatilidad histórica propia del equipo, no propagando paso a paso una proyección de Y o Z a través de la regresión, de modo que mejor</w:t>
      </w:r>
      <w:r w:rsidRPr="007E2676">
        <w:rPr>
          <w:lang w:val="es-CO"/>
        </w:rPr>
        <w:t>ar la proyección de Y no modifica el resultado final de Equipo 1. La ventana usada para esta comparación (8 de diciembre de 2020 a 4 de junio de 2021) coincide con el arranque del shock de cadena de suministro post-pandemia; que el R² de esa comparación re</w:t>
      </w:r>
      <w:r w:rsidRPr="007E2676">
        <w:rPr>
          <w:lang w:val="es-CO"/>
        </w:rPr>
        <w:t>sultara negativo no es un error, sino evidencia de la dificultad genuina de ese período — y refuerza la necesidad de trabajar con bandas de incertidumbre amplias en la proyección final.</w:t>
      </w:r>
    </w:p>
    <w:p w:rsidR="00FA5BCE" w:rsidRPr="007E2676" w:rsidRDefault="00A03B5B">
      <w:pPr>
        <w:pStyle w:val="Ttulo1"/>
        <w:pBdr>
          <w:bottom w:val="single" w:sz="6" w:space="0" w:color="CCCCCC"/>
        </w:pBdr>
        <w:spacing w:before="360" w:after="180"/>
        <w:rPr>
          <w:lang w:val="es-CO"/>
        </w:rPr>
      </w:pPr>
      <w:r w:rsidRPr="007E2676">
        <w:rPr>
          <w:lang w:val="es-CO"/>
        </w:rPr>
        <w:t>Resultados del análisis de los datos y los modelos</w:t>
      </w:r>
    </w:p>
    <w:p w:rsidR="00FA5BCE" w:rsidRPr="007E2676" w:rsidRDefault="00A03B5B">
      <w:pPr>
        <w:spacing w:after="200"/>
        <w:rPr>
          <w:lang w:val="es-CO"/>
        </w:rPr>
      </w:pPr>
      <w:r w:rsidRPr="007E2676">
        <w:rPr>
          <w:lang w:val="es-CO"/>
        </w:rPr>
        <w:t>La primera señal de</w:t>
      </w:r>
      <w:r w:rsidRPr="007E2676">
        <w:rPr>
          <w:lang w:val="es-CO"/>
        </w:rPr>
        <w:t xml:space="preserve"> qué materias primas importan surgió de la correlación simple sobre retornos: Y mostró la asociación más fuerte con Equipo 1 (0.38) y Z con Equipo 2 (0.40), muy por encima del resto de las combinaciones. Esta señal se confirmó con una regresión múltiple qu</w:t>
      </w:r>
      <w:r w:rsidRPr="007E2676">
        <w:rPr>
          <w:lang w:val="es-CO"/>
        </w:rPr>
        <w:t>e incluyó las tres materias primas a la vez, controlando el efecto conjunto entre ellas: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FA5BCE">
        <w:tblPrEx>
          <w:tblCellMar>
            <w:top w:w="0" w:type="dxa"/>
            <w:bottom w:w="0" w:type="dxa"/>
          </w:tblCellMar>
        </w:tblPrEx>
        <w:tc>
          <w:tcPr>
            <w:tcW w:w="1250" w:type="pct"/>
          </w:tcPr>
          <w:p w:rsidR="00FA5BCE" w:rsidRDefault="00A03B5B">
            <w:proofErr w:type="spellStart"/>
            <w:r>
              <w:rPr>
                <w:b/>
                <w:bCs/>
              </w:rPr>
              <w:t>Equipo</w:t>
            </w:r>
            <w:proofErr w:type="spellEnd"/>
          </w:p>
        </w:tc>
        <w:tc>
          <w:tcPr>
            <w:tcW w:w="1250" w:type="pct"/>
          </w:tcPr>
          <w:p w:rsidR="00FA5BCE" w:rsidRDefault="00A03B5B">
            <w:r>
              <w:rPr>
                <w:b/>
                <w:bCs/>
              </w:rPr>
              <w:t>Variable</w:t>
            </w:r>
          </w:p>
        </w:tc>
        <w:tc>
          <w:tcPr>
            <w:tcW w:w="1250" w:type="pct"/>
          </w:tcPr>
          <w:p w:rsidR="00FA5BCE" w:rsidRDefault="00A03B5B">
            <w:proofErr w:type="spellStart"/>
            <w:r>
              <w:rPr>
                <w:b/>
                <w:bCs/>
              </w:rPr>
              <w:t>Coeficiente</w:t>
            </w:r>
            <w:proofErr w:type="spellEnd"/>
          </w:p>
        </w:tc>
        <w:tc>
          <w:tcPr>
            <w:tcW w:w="1250" w:type="pct"/>
          </w:tcPr>
          <w:p w:rsidR="00FA5BCE" w:rsidRDefault="00A03B5B">
            <w:r>
              <w:rPr>
                <w:b/>
                <w:bCs/>
              </w:rPr>
              <w:t>p-valor</w:t>
            </w:r>
          </w:p>
        </w:tc>
      </w:tr>
      <w:tr w:rsidR="00FA5BCE">
        <w:tblPrEx>
          <w:tblCellMar>
            <w:top w:w="0" w:type="dxa"/>
            <w:bottom w:w="0" w:type="dxa"/>
          </w:tblCellMar>
        </w:tblPrEx>
        <w:tc>
          <w:tcPr>
            <w:tcW w:w="1250" w:type="pct"/>
          </w:tcPr>
          <w:p w:rsidR="00FA5BCE" w:rsidRDefault="00A03B5B">
            <w:proofErr w:type="spellStart"/>
            <w:r>
              <w:t>Equipo</w:t>
            </w:r>
            <w:proofErr w:type="spellEnd"/>
            <w:r>
              <w:t xml:space="preserve"> 1</w:t>
            </w:r>
          </w:p>
        </w:tc>
        <w:tc>
          <w:tcPr>
            <w:tcW w:w="1250" w:type="pct"/>
          </w:tcPr>
          <w:p w:rsidR="00FA5BCE" w:rsidRDefault="00A03B5B">
            <w:r>
              <w:t>X</w:t>
            </w:r>
          </w:p>
        </w:tc>
        <w:tc>
          <w:tcPr>
            <w:tcW w:w="1250" w:type="pct"/>
          </w:tcPr>
          <w:p w:rsidR="00FA5BCE" w:rsidRDefault="00A03B5B">
            <w:r>
              <w:t>0.019</w:t>
            </w:r>
          </w:p>
        </w:tc>
        <w:tc>
          <w:tcPr>
            <w:tcW w:w="1250" w:type="pct"/>
          </w:tcPr>
          <w:p w:rsidR="00FA5BCE" w:rsidRDefault="00A03B5B">
            <w:r>
              <w:t xml:space="preserve">0.357 (no </w:t>
            </w:r>
            <w:proofErr w:type="spellStart"/>
            <w:r>
              <w:t>significativo</w:t>
            </w:r>
            <w:proofErr w:type="spellEnd"/>
            <w:r>
              <w:t>)</w:t>
            </w:r>
          </w:p>
        </w:tc>
      </w:tr>
      <w:tr w:rsidR="00FA5BCE">
        <w:tblPrEx>
          <w:tblCellMar>
            <w:top w:w="0" w:type="dxa"/>
            <w:bottom w:w="0" w:type="dxa"/>
          </w:tblCellMar>
        </w:tblPrEx>
        <w:tc>
          <w:tcPr>
            <w:tcW w:w="1250" w:type="pct"/>
          </w:tcPr>
          <w:p w:rsidR="00FA5BCE" w:rsidRDefault="00FA5BCE"/>
        </w:tc>
        <w:tc>
          <w:tcPr>
            <w:tcW w:w="1250" w:type="pct"/>
          </w:tcPr>
          <w:p w:rsidR="00FA5BCE" w:rsidRDefault="00A03B5B">
            <w:r>
              <w:t>Y</w:t>
            </w:r>
          </w:p>
        </w:tc>
        <w:tc>
          <w:tcPr>
            <w:tcW w:w="1250" w:type="pct"/>
          </w:tcPr>
          <w:p w:rsidR="00FA5BCE" w:rsidRDefault="00A03B5B">
            <w:r>
              <w:t>0.953</w:t>
            </w:r>
          </w:p>
        </w:tc>
        <w:tc>
          <w:tcPr>
            <w:tcW w:w="1250" w:type="pct"/>
          </w:tcPr>
          <w:p w:rsidR="00FA5BCE" w:rsidRDefault="00A03B5B">
            <w:r>
              <w:t>&lt; 0.001</w:t>
            </w:r>
          </w:p>
        </w:tc>
      </w:tr>
      <w:tr w:rsidR="00FA5BCE">
        <w:tblPrEx>
          <w:tblCellMar>
            <w:top w:w="0" w:type="dxa"/>
            <w:bottom w:w="0" w:type="dxa"/>
          </w:tblCellMar>
        </w:tblPrEx>
        <w:tc>
          <w:tcPr>
            <w:tcW w:w="1250" w:type="pct"/>
          </w:tcPr>
          <w:p w:rsidR="00FA5BCE" w:rsidRDefault="00FA5BCE"/>
        </w:tc>
        <w:tc>
          <w:tcPr>
            <w:tcW w:w="1250" w:type="pct"/>
          </w:tcPr>
          <w:p w:rsidR="00FA5BCE" w:rsidRDefault="00A03B5B">
            <w:r>
              <w:t>Z</w:t>
            </w:r>
          </w:p>
        </w:tc>
        <w:tc>
          <w:tcPr>
            <w:tcW w:w="1250" w:type="pct"/>
          </w:tcPr>
          <w:p w:rsidR="00FA5BCE" w:rsidRDefault="00A03B5B">
            <w:r>
              <w:t>0.007</w:t>
            </w:r>
          </w:p>
        </w:tc>
        <w:tc>
          <w:tcPr>
            <w:tcW w:w="1250" w:type="pct"/>
          </w:tcPr>
          <w:p w:rsidR="00FA5BCE" w:rsidRDefault="00A03B5B">
            <w:r>
              <w:t xml:space="preserve">0.844 (no </w:t>
            </w:r>
            <w:proofErr w:type="spellStart"/>
            <w:r>
              <w:t>significativo</w:t>
            </w:r>
            <w:proofErr w:type="spellEnd"/>
            <w:r>
              <w:t>)</w:t>
            </w:r>
          </w:p>
        </w:tc>
      </w:tr>
      <w:tr w:rsidR="00FA5BCE">
        <w:tblPrEx>
          <w:tblCellMar>
            <w:top w:w="0" w:type="dxa"/>
            <w:bottom w:w="0" w:type="dxa"/>
          </w:tblCellMar>
        </w:tblPrEx>
        <w:tc>
          <w:tcPr>
            <w:tcW w:w="1250" w:type="pct"/>
          </w:tcPr>
          <w:p w:rsidR="00FA5BCE" w:rsidRDefault="00A03B5B">
            <w:proofErr w:type="spellStart"/>
            <w:r>
              <w:lastRenderedPageBreak/>
              <w:t>Equipo</w:t>
            </w:r>
            <w:proofErr w:type="spellEnd"/>
            <w:r>
              <w:t xml:space="preserve"> 2</w:t>
            </w:r>
          </w:p>
        </w:tc>
        <w:tc>
          <w:tcPr>
            <w:tcW w:w="1250" w:type="pct"/>
          </w:tcPr>
          <w:p w:rsidR="00FA5BCE" w:rsidRDefault="00A03B5B">
            <w:r>
              <w:t>X</w:t>
            </w:r>
          </w:p>
        </w:tc>
        <w:tc>
          <w:tcPr>
            <w:tcW w:w="1250" w:type="pct"/>
          </w:tcPr>
          <w:p w:rsidR="00FA5BCE" w:rsidRDefault="00A03B5B">
            <w:r>
              <w:t>-0.007</w:t>
            </w:r>
          </w:p>
        </w:tc>
        <w:tc>
          <w:tcPr>
            <w:tcW w:w="1250" w:type="pct"/>
          </w:tcPr>
          <w:p w:rsidR="00FA5BCE" w:rsidRDefault="00A03B5B">
            <w:r>
              <w:t xml:space="preserve">0.737 (no </w:t>
            </w:r>
            <w:proofErr w:type="spellStart"/>
            <w:r>
              <w:t>significativo</w:t>
            </w:r>
            <w:proofErr w:type="spellEnd"/>
            <w:r>
              <w:t>)</w:t>
            </w:r>
          </w:p>
        </w:tc>
      </w:tr>
      <w:tr w:rsidR="00FA5BCE">
        <w:tblPrEx>
          <w:tblCellMar>
            <w:top w:w="0" w:type="dxa"/>
            <w:bottom w:w="0" w:type="dxa"/>
          </w:tblCellMar>
        </w:tblPrEx>
        <w:tc>
          <w:tcPr>
            <w:tcW w:w="1250" w:type="pct"/>
          </w:tcPr>
          <w:p w:rsidR="00FA5BCE" w:rsidRDefault="00FA5BCE"/>
        </w:tc>
        <w:tc>
          <w:tcPr>
            <w:tcW w:w="1250" w:type="pct"/>
          </w:tcPr>
          <w:p w:rsidR="00FA5BCE" w:rsidRDefault="00A03B5B">
            <w:r>
              <w:t>Y</w:t>
            </w:r>
          </w:p>
        </w:tc>
        <w:tc>
          <w:tcPr>
            <w:tcW w:w="1250" w:type="pct"/>
          </w:tcPr>
          <w:p w:rsidR="00FA5BCE" w:rsidRDefault="00A03B5B">
            <w:r>
              <w:t>0.130</w:t>
            </w:r>
          </w:p>
        </w:tc>
        <w:tc>
          <w:tcPr>
            <w:tcW w:w="1250" w:type="pct"/>
          </w:tcPr>
          <w:p w:rsidR="00FA5BCE" w:rsidRDefault="00A03B5B">
            <w:r>
              <w:t>0.007</w:t>
            </w:r>
          </w:p>
        </w:tc>
      </w:tr>
      <w:tr w:rsidR="00FA5BCE">
        <w:tblPrEx>
          <w:tblCellMar>
            <w:top w:w="0" w:type="dxa"/>
            <w:bottom w:w="0" w:type="dxa"/>
          </w:tblCellMar>
        </w:tblPrEx>
        <w:tc>
          <w:tcPr>
            <w:tcW w:w="1250" w:type="pct"/>
          </w:tcPr>
          <w:p w:rsidR="00FA5BCE" w:rsidRDefault="00FA5BCE"/>
        </w:tc>
        <w:tc>
          <w:tcPr>
            <w:tcW w:w="1250" w:type="pct"/>
          </w:tcPr>
          <w:p w:rsidR="00FA5BCE" w:rsidRDefault="00A03B5B">
            <w:r>
              <w:t>Z</w:t>
            </w:r>
          </w:p>
        </w:tc>
        <w:tc>
          <w:tcPr>
            <w:tcW w:w="1250" w:type="pct"/>
          </w:tcPr>
          <w:p w:rsidR="00FA5BCE" w:rsidRDefault="00A03B5B">
            <w:r>
              <w:t>0.774</w:t>
            </w:r>
          </w:p>
        </w:tc>
        <w:tc>
          <w:tcPr>
            <w:tcW w:w="1250" w:type="pct"/>
          </w:tcPr>
          <w:p w:rsidR="00FA5BCE" w:rsidRDefault="00A03B5B">
            <w:r>
              <w:t>&lt; 0.001</w:t>
            </w:r>
          </w:p>
        </w:tc>
      </w:tr>
    </w:tbl>
    <w:p w:rsidR="00FA5BCE" w:rsidRPr="007E2676" w:rsidRDefault="00A03B5B">
      <w:pPr>
        <w:spacing w:after="200"/>
        <w:rPr>
          <w:lang w:val="es-CO"/>
        </w:rPr>
      </w:pPr>
      <w:r w:rsidRPr="007E2676">
        <w:rPr>
          <w:lang w:val="es-CO"/>
        </w:rPr>
        <w:t xml:space="preserve">X no resultó significativo para ningún equipo en ningún caso, por lo que los modelos finales quedaron simplificados a Equipo 1 = f(Y) y Equipo 2 = </w:t>
      </w:r>
      <w:proofErr w:type="gramStart"/>
      <w:r w:rsidRPr="007E2676">
        <w:rPr>
          <w:lang w:val="es-CO"/>
        </w:rPr>
        <w:t>f(</w:t>
      </w:r>
      <w:proofErr w:type="gramEnd"/>
      <w:r w:rsidRPr="007E2676">
        <w:rPr>
          <w:lang w:val="es-CO"/>
        </w:rPr>
        <w:t>Y, Z), sin pérdida relevante de poder predictivo: el R² fuera de muestra se mantuvo en 0.213 y 0.241 respec</w:t>
      </w:r>
      <w:r w:rsidRPr="007E2676">
        <w:rPr>
          <w:lang w:val="es-CO"/>
        </w:rPr>
        <w:t>tivamente, prácticamente igual al de los modelos con las tres variables. Este R² es modesto — el modelo explica alrededor de una quinta parte de la variabilidad total — y se reporta así de forma honesta, sin sobrevender la precisión del análisis.</w:t>
      </w:r>
    </w:p>
    <w:p w:rsidR="00FA5BCE" w:rsidRPr="007E2676" w:rsidRDefault="00A03B5B">
      <w:pPr>
        <w:spacing w:after="200"/>
        <w:rPr>
          <w:lang w:val="es-CO"/>
        </w:rPr>
      </w:pPr>
      <w:r w:rsidRPr="007E2676">
        <w:rPr>
          <w:lang w:val="es-CO"/>
        </w:rPr>
        <w:t>El estadí</w:t>
      </w:r>
      <w:r w:rsidRPr="007E2676">
        <w:rPr>
          <w:lang w:val="es-CO"/>
        </w:rPr>
        <w:t xml:space="preserve">stico </w:t>
      </w:r>
      <w:proofErr w:type="spellStart"/>
      <w:r w:rsidRPr="007E2676">
        <w:rPr>
          <w:lang w:val="es-CO"/>
        </w:rPr>
        <w:t>Durbin</w:t>
      </w:r>
      <w:proofErr w:type="spellEnd"/>
      <w:r w:rsidRPr="007E2676">
        <w:rPr>
          <w:lang w:val="es-CO"/>
        </w:rPr>
        <w:t xml:space="preserve">-Watson inicial (≈2.9–3.0 en ambos equipos) mostró una </w:t>
      </w:r>
      <w:proofErr w:type="spellStart"/>
      <w:r w:rsidRPr="007E2676">
        <w:rPr>
          <w:lang w:val="es-CO"/>
        </w:rPr>
        <w:t>autocorrelación</w:t>
      </w:r>
      <w:proofErr w:type="spellEnd"/>
      <w:r w:rsidRPr="007E2676">
        <w:rPr>
          <w:lang w:val="es-CO"/>
        </w:rPr>
        <w:t xml:space="preserve"> negativa leve en los residuos, lo que motivó una verificación formal de los cuatro supuestos clásicos de la regresión: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A5BCE">
        <w:tblPrEx>
          <w:tblCellMar>
            <w:top w:w="0" w:type="dxa"/>
            <w:bottom w:w="0" w:type="dxa"/>
          </w:tblCellMar>
        </w:tblPrEx>
        <w:tc>
          <w:tcPr>
            <w:tcW w:w="1250" w:type="pct"/>
          </w:tcPr>
          <w:p w:rsidR="00FA5BCE" w:rsidRDefault="00A03B5B">
            <w:proofErr w:type="spellStart"/>
            <w:r>
              <w:rPr>
                <w:b/>
                <w:bCs/>
              </w:rPr>
              <w:t>Supuesto</w:t>
            </w:r>
            <w:proofErr w:type="spellEnd"/>
          </w:p>
        </w:tc>
        <w:tc>
          <w:tcPr>
            <w:tcW w:w="1250" w:type="pct"/>
          </w:tcPr>
          <w:p w:rsidR="00FA5BCE" w:rsidRDefault="00A03B5B">
            <w:r>
              <w:rPr>
                <w:b/>
                <w:bCs/>
              </w:rPr>
              <w:t>Test</w:t>
            </w:r>
          </w:p>
        </w:tc>
        <w:tc>
          <w:tcPr>
            <w:tcW w:w="1250" w:type="pct"/>
          </w:tcPr>
          <w:p w:rsidR="00FA5BCE" w:rsidRDefault="00A03B5B">
            <w:proofErr w:type="spellStart"/>
            <w:r>
              <w:rPr>
                <w:b/>
                <w:bCs/>
              </w:rPr>
              <w:t>Resultado</w:t>
            </w:r>
            <w:proofErr w:type="spellEnd"/>
          </w:p>
        </w:tc>
      </w:tr>
      <w:tr w:rsidR="00FA5BCE" w:rsidRPr="007E2676">
        <w:tblPrEx>
          <w:tblCellMar>
            <w:top w:w="0" w:type="dxa"/>
            <w:bottom w:w="0" w:type="dxa"/>
          </w:tblCellMar>
        </w:tblPrEx>
        <w:tc>
          <w:tcPr>
            <w:tcW w:w="1250" w:type="pct"/>
          </w:tcPr>
          <w:p w:rsidR="00FA5BCE" w:rsidRDefault="00A03B5B">
            <w:proofErr w:type="spellStart"/>
            <w:r>
              <w:t>Independencia</w:t>
            </w:r>
            <w:proofErr w:type="spellEnd"/>
          </w:p>
        </w:tc>
        <w:tc>
          <w:tcPr>
            <w:tcW w:w="1250" w:type="pct"/>
          </w:tcPr>
          <w:p w:rsidR="00FA5BCE" w:rsidRDefault="00A03B5B">
            <w:r>
              <w:t>Durbin-Watson</w:t>
            </w:r>
          </w:p>
        </w:tc>
        <w:tc>
          <w:tcPr>
            <w:tcW w:w="1250" w:type="pct"/>
          </w:tcPr>
          <w:p w:rsidR="00FA5BCE" w:rsidRPr="007E2676" w:rsidRDefault="00A03B5B">
            <w:pPr>
              <w:rPr>
                <w:lang w:val="es-CO"/>
              </w:rPr>
            </w:pPr>
            <w:r w:rsidRPr="007E2676">
              <w:rPr>
                <w:lang w:val="es-CO"/>
              </w:rPr>
              <w:t xml:space="preserve">≈2.9–3.0; </w:t>
            </w:r>
            <w:proofErr w:type="spellStart"/>
            <w:r w:rsidRPr="007E2676">
              <w:rPr>
                <w:lang w:val="es-CO"/>
              </w:rPr>
              <w:t>autocorrelación</w:t>
            </w:r>
            <w:proofErr w:type="spellEnd"/>
            <w:r w:rsidRPr="007E2676">
              <w:rPr>
                <w:lang w:val="es-CO"/>
              </w:rPr>
              <w:t xml:space="preserve"> negativa leve, corregida con HAC</w:t>
            </w:r>
          </w:p>
        </w:tc>
      </w:tr>
      <w:tr w:rsidR="00FA5BCE" w:rsidRPr="007E2676">
        <w:tblPrEx>
          <w:tblCellMar>
            <w:top w:w="0" w:type="dxa"/>
            <w:bottom w:w="0" w:type="dxa"/>
          </w:tblCellMar>
        </w:tblPrEx>
        <w:tc>
          <w:tcPr>
            <w:tcW w:w="1250" w:type="pct"/>
          </w:tcPr>
          <w:p w:rsidR="00FA5BCE" w:rsidRDefault="00A03B5B">
            <w:proofErr w:type="spellStart"/>
            <w:r>
              <w:t>Normalidad</w:t>
            </w:r>
            <w:proofErr w:type="spellEnd"/>
          </w:p>
        </w:tc>
        <w:tc>
          <w:tcPr>
            <w:tcW w:w="1250" w:type="pct"/>
          </w:tcPr>
          <w:p w:rsidR="00FA5BCE" w:rsidRDefault="00A03B5B">
            <w:proofErr w:type="spellStart"/>
            <w:r>
              <w:t>Jarque-Bera</w:t>
            </w:r>
            <w:proofErr w:type="spellEnd"/>
          </w:p>
        </w:tc>
        <w:tc>
          <w:tcPr>
            <w:tcW w:w="1250" w:type="pct"/>
          </w:tcPr>
          <w:p w:rsidR="00FA5BCE" w:rsidRPr="007E2676" w:rsidRDefault="00A03B5B">
            <w:pPr>
              <w:rPr>
                <w:lang w:val="es-CO"/>
              </w:rPr>
            </w:pPr>
            <w:r w:rsidRPr="007E2676">
              <w:rPr>
                <w:lang w:val="es-CO"/>
              </w:rPr>
              <w:t>Se rechaza, pero con colas más finas que la normal; con n≈2823 no compromete la inferencia</w:t>
            </w:r>
          </w:p>
        </w:tc>
      </w:tr>
      <w:tr w:rsidR="00FA5BCE">
        <w:tblPrEx>
          <w:tblCellMar>
            <w:top w:w="0" w:type="dxa"/>
            <w:bottom w:w="0" w:type="dxa"/>
          </w:tblCellMar>
        </w:tblPrEx>
        <w:tc>
          <w:tcPr>
            <w:tcW w:w="1250" w:type="pct"/>
          </w:tcPr>
          <w:p w:rsidR="00FA5BCE" w:rsidRDefault="00A03B5B">
            <w:proofErr w:type="spellStart"/>
            <w:r>
              <w:t>Homocedasticidad</w:t>
            </w:r>
            <w:proofErr w:type="spellEnd"/>
            <w:r>
              <w:t xml:space="preserve"> vs. </w:t>
            </w:r>
            <w:proofErr w:type="spellStart"/>
            <w:r>
              <w:t>regresores</w:t>
            </w:r>
            <w:proofErr w:type="spellEnd"/>
          </w:p>
        </w:tc>
        <w:tc>
          <w:tcPr>
            <w:tcW w:w="1250" w:type="pct"/>
          </w:tcPr>
          <w:p w:rsidR="00FA5BCE" w:rsidRDefault="00A03B5B">
            <w:proofErr w:type="spellStart"/>
            <w:r>
              <w:t>Breusch</w:t>
            </w:r>
            <w:proofErr w:type="spellEnd"/>
            <w:r>
              <w:t>-Pagan</w:t>
            </w:r>
          </w:p>
        </w:tc>
        <w:tc>
          <w:tcPr>
            <w:tcW w:w="1250" w:type="pct"/>
          </w:tcPr>
          <w:p w:rsidR="00FA5BCE" w:rsidRDefault="00A03B5B">
            <w:r>
              <w:t xml:space="preserve">No se </w:t>
            </w:r>
            <w:proofErr w:type="spellStart"/>
            <w:r>
              <w:t>rechaza</w:t>
            </w:r>
            <w:proofErr w:type="spellEnd"/>
            <w:r>
              <w:t xml:space="preserve"> (p = 0.65 / 0.18)</w:t>
            </w:r>
          </w:p>
        </w:tc>
      </w:tr>
      <w:tr w:rsidR="00FA5BCE" w:rsidRPr="007E2676">
        <w:tblPrEx>
          <w:tblCellMar>
            <w:top w:w="0" w:type="dxa"/>
            <w:bottom w:w="0" w:type="dxa"/>
          </w:tblCellMar>
        </w:tblPrEx>
        <w:tc>
          <w:tcPr>
            <w:tcW w:w="1250" w:type="pct"/>
          </w:tcPr>
          <w:p w:rsidR="00FA5BCE" w:rsidRDefault="00A03B5B">
            <w:proofErr w:type="spellStart"/>
            <w:r>
              <w:t>Ho</w:t>
            </w:r>
            <w:r>
              <w:t>mocedasticidad</w:t>
            </w:r>
            <w:proofErr w:type="spellEnd"/>
            <w:r>
              <w:t xml:space="preserve"> </w:t>
            </w:r>
            <w:proofErr w:type="spellStart"/>
            <w:r>
              <w:t>en</w:t>
            </w:r>
            <w:proofErr w:type="spellEnd"/>
            <w:r>
              <w:t xml:space="preserve"> el </w:t>
            </w:r>
            <w:proofErr w:type="spellStart"/>
            <w:r>
              <w:t>tiempo</w:t>
            </w:r>
            <w:proofErr w:type="spellEnd"/>
          </w:p>
        </w:tc>
        <w:tc>
          <w:tcPr>
            <w:tcW w:w="1250" w:type="pct"/>
          </w:tcPr>
          <w:p w:rsidR="00FA5BCE" w:rsidRDefault="00A03B5B">
            <w:r>
              <w:t>ARCH-LM</w:t>
            </w:r>
          </w:p>
        </w:tc>
        <w:tc>
          <w:tcPr>
            <w:tcW w:w="1250" w:type="pct"/>
          </w:tcPr>
          <w:p w:rsidR="00FA5BCE" w:rsidRPr="007E2676" w:rsidRDefault="00A03B5B">
            <w:pPr>
              <w:rPr>
                <w:lang w:val="es-CO"/>
              </w:rPr>
            </w:pPr>
            <w:r w:rsidRPr="007E2676">
              <w:rPr>
                <w:lang w:val="es-CO"/>
              </w:rPr>
              <w:t>Se rechaza (p ≈ 0.000); corregida con HAC</w:t>
            </w:r>
          </w:p>
        </w:tc>
      </w:tr>
      <w:tr w:rsidR="00FA5BCE">
        <w:tblPrEx>
          <w:tblCellMar>
            <w:top w:w="0" w:type="dxa"/>
            <w:bottom w:w="0" w:type="dxa"/>
          </w:tblCellMar>
        </w:tblPrEx>
        <w:tc>
          <w:tcPr>
            <w:tcW w:w="1250" w:type="pct"/>
          </w:tcPr>
          <w:p w:rsidR="00FA5BCE" w:rsidRDefault="00A03B5B">
            <w:proofErr w:type="spellStart"/>
            <w:r>
              <w:t>Linealidad</w:t>
            </w:r>
            <w:proofErr w:type="spellEnd"/>
          </w:p>
        </w:tc>
        <w:tc>
          <w:tcPr>
            <w:tcW w:w="1250" w:type="pct"/>
          </w:tcPr>
          <w:p w:rsidR="00FA5BCE" w:rsidRDefault="00A03B5B">
            <w:r>
              <w:t>RESET</w:t>
            </w:r>
          </w:p>
        </w:tc>
        <w:tc>
          <w:tcPr>
            <w:tcW w:w="1250" w:type="pct"/>
          </w:tcPr>
          <w:p w:rsidR="00FA5BCE" w:rsidRDefault="00A03B5B">
            <w:r>
              <w:t xml:space="preserve">No se </w:t>
            </w:r>
            <w:proofErr w:type="spellStart"/>
            <w:r>
              <w:t>rechaza</w:t>
            </w:r>
            <w:proofErr w:type="spellEnd"/>
            <w:r>
              <w:t xml:space="preserve"> (p = 0.569 / 0.076)</w:t>
            </w:r>
          </w:p>
        </w:tc>
      </w:tr>
    </w:tbl>
    <w:p w:rsidR="00FA5BCE" w:rsidRPr="007E2676" w:rsidRDefault="00A03B5B">
      <w:pPr>
        <w:spacing w:after="200"/>
        <w:rPr>
          <w:lang w:val="es-CO"/>
        </w:rPr>
      </w:pPr>
      <w:r w:rsidRPr="007E2676">
        <w:rPr>
          <w:lang w:val="es-CO"/>
        </w:rPr>
        <w:t xml:space="preserve">Al recalcular los modelos con errores estándar robustos a </w:t>
      </w:r>
      <w:proofErr w:type="spellStart"/>
      <w:r w:rsidRPr="007E2676">
        <w:rPr>
          <w:lang w:val="es-CO"/>
        </w:rPr>
        <w:t>heterocedasticidad</w:t>
      </w:r>
      <w:proofErr w:type="spellEnd"/>
      <w:r w:rsidRPr="007E2676">
        <w:rPr>
          <w:lang w:val="es-CO"/>
        </w:rPr>
        <w:t xml:space="preserve"> y </w:t>
      </w:r>
      <w:proofErr w:type="spellStart"/>
      <w:r w:rsidRPr="007E2676">
        <w:rPr>
          <w:lang w:val="es-CO"/>
        </w:rPr>
        <w:t>autocorrelación</w:t>
      </w:r>
      <w:proofErr w:type="spellEnd"/>
      <w:r w:rsidRPr="007E2676">
        <w:rPr>
          <w:lang w:val="es-CO"/>
        </w:rPr>
        <w:t xml:space="preserve"> (HAC / </w:t>
      </w:r>
      <w:proofErr w:type="spellStart"/>
      <w:r w:rsidRPr="007E2676">
        <w:rPr>
          <w:lang w:val="es-CO"/>
        </w:rPr>
        <w:t>Newey</w:t>
      </w:r>
      <w:proofErr w:type="spellEnd"/>
      <w:r w:rsidRPr="007E2676">
        <w:rPr>
          <w:lang w:val="es-CO"/>
        </w:rPr>
        <w:t>-West), los coeficientes centrales se mantuvieron prácticamente iguales a los originales, y ninguno cambió de lado respecto al umbral de significanci</w:t>
      </w:r>
      <w:r w:rsidRPr="007E2676">
        <w:rPr>
          <w:lang w:val="es-CO"/>
        </w:rPr>
        <w:t>a — el hallazgo central aguanta el chequeo de inferencia más exigente que se le aplicó.</w:t>
      </w:r>
    </w:p>
    <w:p w:rsidR="00FA5BCE" w:rsidRPr="007E2676" w:rsidRDefault="00A03B5B">
      <w:pPr>
        <w:spacing w:after="200"/>
        <w:rPr>
          <w:lang w:val="es-CO"/>
        </w:rPr>
      </w:pPr>
      <w:r w:rsidRPr="007E2676">
        <w:rPr>
          <w:lang w:val="es-CO"/>
        </w:rPr>
        <w:t>Finalmente, se verificó que el hallazgo no dependiera de una elección arbitraria de partición de datos: el coeficiente de Y en Equipo 1 se mantuvo estable entre la prim</w:t>
      </w:r>
      <w:r w:rsidRPr="007E2676">
        <w:rPr>
          <w:lang w:val="es-CO"/>
        </w:rPr>
        <w:t>era y segunda mitad del histórico (0.965 frente a 0.946), mientras que el de Z en Equipo 2 mostró una deriva real (0.70 a 0.87), documentada como límite del modelo. El R² se mantuvo en un rango razonable — entre 0.17 y 0.21 para Equipo 1, entre 0.19 y 0.28</w:t>
      </w:r>
      <w:r w:rsidRPr="007E2676">
        <w:rPr>
          <w:lang w:val="es-CO"/>
        </w:rPr>
        <w:t xml:space="preserve"> para Equipo 2 — al repetir el ejercicio con cinco particiones distintas de entrenamiento y prueba (70/30 hasta 90/10).</w:t>
      </w:r>
    </w:p>
    <w:p w:rsidR="00FA5BCE" w:rsidRPr="007E2676" w:rsidRDefault="00A03B5B">
      <w:pPr>
        <w:pStyle w:val="Ttulo1"/>
        <w:pBdr>
          <w:bottom w:val="single" w:sz="6" w:space="0" w:color="CCCCCC"/>
        </w:pBdr>
        <w:spacing w:before="360" w:after="180"/>
        <w:rPr>
          <w:lang w:val="es-CO"/>
        </w:rPr>
      </w:pPr>
      <w:r w:rsidRPr="007E2676">
        <w:rPr>
          <w:lang w:val="es-CO"/>
        </w:rPr>
        <w:t>Proyección de costos y horizonte de predicción</w:t>
      </w:r>
    </w:p>
    <w:p w:rsidR="00FA5BCE" w:rsidRPr="007E2676" w:rsidRDefault="00A03B5B">
      <w:pPr>
        <w:spacing w:after="200"/>
        <w:rPr>
          <w:lang w:val="es-CO"/>
        </w:rPr>
      </w:pPr>
      <w:r w:rsidRPr="007E2676">
        <w:rPr>
          <w:lang w:val="es-CO"/>
        </w:rPr>
        <w:t>La proyección se construye a partir del último precio real conocido de cada equipo, sin a</w:t>
      </w:r>
      <w:r w:rsidRPr="007E2676">
        <w:rPr>
          <w:lang w:val="es-CO"/>
        </w:rPr>
        <w:t>sumir tendencia, con una banda de incertidumbre del 95% que crece con la raíz cuadrada del horizonte — propiedad característica de un camino aleatorio. Antes de confiar en esta banda, se verificó que el margen adicional por incertidumbre del propio coefici</w:t>
      </w:r>
      <w:r w:rsidRPr="007E2676">
        <w:rPr>
          <w:lang w:val="es-CO"/>
        </w:rPr>
        <w:t>ente de la regresión (más allá de la variabilidad de los residuos) fuera despreciable: resultó en apenas un 0.04% de la varianza total, gracias al tamaño de muestra disponible (≈2823 observaciones), lo que confirma que la banda utilizada ya captura la ince</w:t>
      </w:r>
      <w:r w:rsidRPr="007E2676">
        <w:rPr>
          <w:lang w:val="es-CO"/>
        </w:rPr>
        <w:t>rtidumbre relevante.</w:t>
      </w:r>
    </w:p>
    <w:p w:rsidR="00FA5BCE" w:rsidRPr="007E2676" w:rsidRDefault="00A03B5B">
      <w:pPr>
        <w:spacing w:after="200"/>
        <w:rPr>
          <w:lang w:val="es-CO"/>
        </w:rPr>
      </w:pPr>
      <w:r w:rsidRPr="007E2676">
        <w:rPr>
          <w:lang w:val="es-CO"/>
        </w:rPr>
        <w:t>La siguiente tabla resume la proyección para el horizonte recomendado de 4 meses: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
        <w:gridCol w:w="2099"/>
        <w:gridCol w:w="2099"/>
        <w:gridCol w:w="2099"/>
        <w:gridCol w:w="2098"/>
      </w:tblGrid>
      <w:tr w:rsidR="00FA5BCE">
        <w:tblPrEx>
          <w:tblCellMar>
            <w:top w:w="0" w:type="dxa"/>
            <w:bottom w:w="0" w:type="dxa"/>
          </w:tblCellMar>
        </w:tblPrEx>
        <w:tc>
          <w:tcPr>
            <w:tcW w:w="500" w:type="pct"/>
          </w:tcPr>
          <w:p w:rsidR="00FA5BCE" w:rsidRDefault="00A03B5B">
            <w:proofErr w:type="spellStart"/>
            <w:r>
              <w:rPr>
                <w:b/>
                <w:bCs/>
              </w:rPr>
              <w:t>Mes</w:t>
            </w:r>
            <w:proofErr w:type="spellEnd"/>
          </w:p>
        </w:tc>
        <w:tc>
          <w:tcPr>
            <w:tcW w:w="1100" w:type="pct"/>
          </w:tcPr>
          <w:p w:rsidR="00FA5BCE" w:rsidRDefault="00A03B5B">
            <w:proofErr w:type="spellStart"/>
            <w:r>
              <w:rPr>
                <w:b/>
                <w:bCs/>
              </w:rPr>
              <w:t>Equipo</w:t>
            </w:r>
            <w:proofErr w:type="spellEnd"/>
            <w:r>
              <w:rPr>
                <w:b/>
                <w:bCs/>
              </w:rPr>
              <w:t xml:space="preserve"> 1 </w:t>
            </w:r>
            <w:proofErr w:type="spellStart"/>
            <w:r>
              <w:rPr>
                <w:b/>
                <w:bCs/>
              </w:rPr>
              <w:t>esperado</w:t>
            </w:r>
            <w:proofErr w:type="spellEnd"/>
          </w:p>
        </w:tc>
        <w:tc>
          <w:tcPr>
            <w:tcW w:w="1100" w:type="pct"/>
          </w:tcPr>
          <w:p w:rsidR="00FA5BCE" w:rsidRDefault="00A03B5B">
            <w:proofErr w:type="spellStart"/>
            <w:r>
              <w:rPr>
                <w:b/>
                <w:bCs/>
              </w:rPr>
              <w:t>Rango</w:t>
            </w:r>
            <w:proofErr w:type="spellEnd"/>
            <w:r>
              <w:rPr>
                <w:b/>
                <w:bCs/>
              </w:rPr>
              <w:t xml:space="preserve"> 95%</w:t>
            </w:r>
          </w:p>
        </w:tc>
        <w:tc>
          <w:tcPr>
            <w:tcW w:w="1100" w:type="pct"/>
          </w:tcPr>
          <w:p w:rsidR="00FA5BCE" w:rsidRDefault="00A03B5B">
            <w:proofErr w:type="spellStart"/>
            <w:r>
              <w:rPr>
                <w:b/>
                <w:bCs/>
              </w:rPr>
              <w:t>Equipo</w:t>
            </w:r>
            <w:proofErr w:type="spellEnd"/>
            <w:r>
              <w:rPr>
                <w:b/>
                <w:bCs/>
              </w:rPr>
              <w:t xml:space="preserve"> 2 </w:t>
            </w:r>
            <w:proofErr w:type="spellStart"/>
            <w:r>
              <w:rPr>
                <w:b/>
                <w:bCs/>
              </w:rPr>
              <w:t>esperado</w:t>
            </w:r>
            <w:proofErr w:type="spellEnd"/>
          </w:p>
        </w:tc>
        <w:tc>
          <w:tcPr>
            <w:tcW w:w="1100" w:type="pct"/>
          </w:tcPr>
          <w:p w:rsidR="00FA5BCE" w:rsidRDefault="00A03B5B">
            <w:proofErr w:type="spellStart"/>
            <w:r>
              <w:rPr>
                <w:b/>
                <w:bCs/>
              </w:rPr>
              <w:t>Rango</w:t>
            </w:r>
            <w:proofErr w:type="spellEnd"/>
            <w:r>
              <w:rPr>
                <w:b/>
                <w:bCs/>
              </w:rPr>
              <w:t xml:space="preserve"> 95%</w:t>
            </w:r>
          </w:p>
        </w:tc>
      </w:tr>
      <w:tr w:rsidR="00FA5BCE">
        <w:tblPrEx>
          <w:tblCellMar>
            <w:top w:w="0" w:type="dxa"/>
            <w:bottom w:w="0" w:type="dxa"/>
          </w:tblCellMar>
        </w:tblPrEx>
        <w:tc>
          <w:tcPr>
            <w:tcW w:w="500" w:type="pct"/>
          </w:tcPr>
          <w:p w:rsidR="00FA5BCE" w:rsidRDefault="00A03B5B">
            <w:r>
              <w:t>1</w:t>
            </w:r>
          </w:p>
        </w:tc>
        <w:tc>
          <w:tcPr>
            <w:tcW w:w="1100" w:type="pct"/>
          </w:tcPr>
          <w:p w:rsidR="00FA5BCE" w:rsidRDefault="00A03B5B">
            <w:r>
              <w:t>451.73</w:t>
            </w:r>
          </w:p>
        </w:tc>
        <w:tc>
          <w:tcPr>
            <w:tcW w:w="1100" w:type="pct"/>
          </w:tcPr>
          <w:p w:rsidR="00FA5BCE" w:rsidRDefault="00A03B5B">
            <w:r>
              <w:t>343.97 – 559.49</w:t>
            </w:r>
          </w:p>
        </w:tc>
        <w:tc>
          <w:tcPr>
            <w:tcW w:w="1100" w:type="pct"/>
          </w:tcPr>
          <w:p w:rsidR="00FA5BCE" w:rsidRDefault="00A03B5B">
            <w:r>
              <w:t>955.35</w:t>
            </w:r>
          </w:p>
        </w:tc>
        <w:tc>
          <w:tcPr>
            <w:tcW w:w="1100" w:type="pct"/>
          </w:tcPr>
          <w:p w:rsidR="00FA5BCE" w:rsidRDefault="00A03B5B">
            <w:r>
              <w:t>723.94 – 1186.76</w:t>
            </w:r>
          </w:p>
        </w:tc>
      </w:tr>
      <w:tr w:rsidR="00FA5BCE">
        <w:tblPrEx>
          <w:tblCellMar>
            <w:top w:w="0" w:type="dxa"/>
            <w:bottom w:w="0" w:type="dxa"/>
          </w:tblCellMar>
        </w:tblPrEx>
        <w:tc>
          <w:tcPr>
            <w:tcW w:w="500" w:type="pct"/>
          </w:tcPr>
          <w:p w:rsidR="00FA5BCE" w:rsidRDefault="00A03B5B">
            <w:r>
              <w:t>2</w:t>
            </w:r>
          </w:p>
        </w:tc>
        <w:tc>
          <w:tcPr>
            <w:tcW w:w="1100" w:type="pct"/>
          </w:tcPr>
          <w:p w:rsidR="00FA5BCE" w:rsidRDefault="00A03B5B">
            <w:r>
              <w:t>451.73</w:t>
            </w:r>
          </w:p>
        </w:tc>
        <w:tc>
          <w:tcPr>
            <w:tcW w:w="1100" w:type="pct"/>
          </w:tcPr>
          <w:p w:rsidR="00FA5BCE" w:rsidRDefault="00A03B5B">
            <w:r>
              <w:t>299.34 – 604.12</w:t>
            </w:r>
          </w:p>
        </w:tc>
        <w:tc>
          <w:tcPr>
            <w:tcW w:w="1100" w:type="pct"/>
          </w:tcPr>
          <w:p w:rsidR="00FA5BCE" w:rsidRDefault="00A03B5B">
            <w:r>
              <w:t>955.35</w:t>
            </w:r>
          </w:p>
        </w:tc>
        <w:tc>
          <w:tcPr>
            <w:tcW w:w="1100" w:type="pct"/>
          </w:tcPr>
          <w:p w:rsidR="00FA5BCE" w:rsidRDefault="00A03B5B">
            <w:r>
              <w:t>628.09 – 1282.61</w:t>
            </w:r>
          </w:p>
        </w:tc>
      </w:tr>
      <w:tr w:rsidR="00FA5BCE">
        <w:tblPrEx>
          <w:tblCellMar>
            <w:top w:w="0" w:type="dxa"/>
            <w:bottom w:w="0" w:type="dxa"/>
          </w:tblCellMar>
        </w:tblPrEx>
        <w:tc>
          <w:tcPr>
            <w:tcW w:w="500" w:type="pct"/>
          </w:tcPr>
          <w:p w:rsidR="00FA5BCE" w:rsidRDefault="00A03B5B">
            <w:r>
              <w:t>3</w:t>
            </w:r>
          </w:p>
        </w:tc>
        <w:tc>
          <w:tcPr>
            <w:tcW w:w="1100" w:type="pct"/>
          </w:tcPr>
          <w:p w:rsidR="00FA5BCE" w:rsidRDefault="00A03B5B">
            <w:r>
              <w:t>451.73</w:t>
            </w:r>
          </w:p>
        </w:tc>
        <w:tc>
          <w:tcPr>
            <w:tcW w:w="1100" w:type="pct"/>
          </w:tcPr>
          <w:p w:rsidR="00FA5BCE" w:rsidRDefault="00A03B5B">
            <w:r>
              <w:t>265.09 – 638.37</w:t>
            </w:r>
          </w:p>
        </w:tc>
        <w:tc>
          <w:tcPr>
            <w:tcW w:w="1100" w:type="pct"/>
          </w:tcPr>
          <w:p w:rsidR="00FA5BCE" w:rsidRDefault="00A03B5B">
            <w:r>
              <w:t>955.35</w:t>
            </w:r>
          </w:p>
        </w:tc>
        <w:tc>
          <w:tcPr>
            <w:tcW w:w="1100" w:type="pct"/>
          </w:tcPr>
          <w:p w:rsidR="00FA5BCE" w:rsidRDefault="00A03B5B">
            <w:r>
              <w:t>554.54 – 1356.16</w:t>
            </w:r>
          </w:p>
        </w:tc>
      </w:tr>
      <w:tr w:rsidR="00FA5BCE">
        <w:tblPrEx>
          <w:tblCellMar>
            <w:top w:w="0" w:type="dxa"/>
            <w:bottom w:w="0" w:type="dxa"/>
          </w:tblCellMar>
        </w:tblPrEx>
        <w:tc>
          <w:tcPr>
            <w:tcW w:w="500" w:type="pct"/>
          </w:tcPr>
          <w:p w:rsidR="00FA5BCE" w:rsidRDefault="00A03B5B">
            <w:r>
              <w:t>4</w:t>
            </w:r>
          </w:p>
        </w:tc>
        <w:tc>
          <w:tcPr>
            <w:tcW w:w="1100" w:type="pct"/>
          </w:tcPr>
          <w:p w:rsidR="00FA5BCE" w:rsidRDefault="00A03B5B">
            <w:r>
              <w:t>451.73</w:t>
            </w:r>
          </w:p>
        </w:tc>
        <w:tc>
          <w:tcPr>
            <w:tcW w:w="1100" w:type="pct"/>
          </w:tcPr>
          <w:p w:rsidR="00FA5BCE" w:rsidRDefault="00A03B5B">
            <w:r>
              <w:t>236.21 – 667.25</w:t>
            </w:r>
          </w:p>
        </w:tc>
        <w:tc>
          <w:tcPr>
            <w:tcW w:w="1100" w:type="pct"/>
          </w:tcPr>
          <w:p w:rsidR="00FA5BCE" w:rsidRDefault="00A03B5B">
            <w:r>
              <w:t>955.35</w:t>
            </w:r>
          </w:p>
        </w:tc>
        <w:tc>
          <w:tcPr>
            <w:tcW w:w="1100" w:type="pct"/>
          </w:tcPr>
          <w:p w:rsidR="00FA5BCE" w:rsidRDefault="00A03B5B">
            <w:r>
              <w:t>492.53 – 1418.17</w:t>
            </w:r>
          </w:p>
        </w:tc>
      </w:tr>
    </w:tbl>
    <w:p w:rsidR="00FA5BCE" w:rsidRPr="007E2676" w:rsidRDefault="00A03B5B">
      <w:pPr>
        <w:spacing w:after="200"/>
        <w:rPr>
          <w:lang w:val="es-CO"/>
        </w:rPr>
      </w:pPr>
      <w:r w:rsidRPr="007E2676">
        <w:rPr>
          <w:lang w:val="es-CO"/>
        </w:rPr>
        <w:t xml:space="preserve">El horizonte de 4 meses no se eligió de forma arbitraria: se calculó el ancho del intervalo de confianza como porcentaje del valor esperado para cada mes, y se observó que supera el 100% —es decir, el rango se vuelve más ancho que el propio valor central— </w:t>
      </w:r>
      <w:r w:rsidRPr="007E2676">
        <w:rPr>
          <w:lang w:val="es-CO"/>
        </w:rPr>
        <w:t>a partir del mes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3740"/>
        <w:gridCol w:w="3740"/>
      </w:tblGrid>
      <w:tr w:rsidR="00FA5BCE">
        <w:tblPrEx>
          <w:tblCellMar>
            <w:top w:w="0" w:type="dxa"/>
            <w:bottom w:w="0" w:type="dxa"/>
          </w:tblCellMar>
        </w:tblPrEx>
        <w:tc>
          <w:tcPr>
            <w:tcW w:w="1000" w:type="pct"/>
          </w:tcPr>
          <w:p w:rsidR="00FA5BCE" w:rsidRDefault="00A03B5B">
            <w:proofErr w:type="spellStart"/>
            <w:r>
              <w:rPr>
                <w:b/>
                <w:bCs/>
              </w:rPr>
              <w:t>Mes</w:t>
            </w:r>
            <w:proofErr w:type="spellEnd"/>
          </w:p>
        </w:tc>
        <w:tc>
          <w:tcPr>
            <w:tcW w:w="2000" w:type="pct"/>
          </w:tcPr>
          <w:p w:rsidR="00FA5BCE" w:rsidRDefault="00A03B5B">
            <w:r>
              <w:rPr>
                <w:b/>
                <w:bCs/>
              </w:rPr>
              <w:t xml:space="preserve">Ancho </w:t>
            </w:r>
            <w:proofErr w:type="spellStart"/>
            <w:r>
              <w:rPr>
                <w:b/>
                <w:bCs/>
              </w:rPr>
              <w:t>Equipo</w:t>
            </w:r>
            <w:proofErr w:type="spellEnd"/>
            <w:r>
              <w:rPr>
                <w:b/>
                <w:bCs/>
              </w:rPr>
              <w:t xml:space="preserve"> 1 (%)</w:t>
            </w:r>
          </w:p>
        </w:tc>
        <w:tc>
          <w:tcPr>
            <w:tcW w:w="2000" w:type="pct"/>
          </w:tcPr>
          <w:p w:rsidR="00FA5BCE" w:rsidRDefault="00A03B5B">
            <w:r>
              <w:rPr>
                <w:b/>
                <w:bCs/>
              </w:rPr>
              <w:t xml:space="preserve">Ancho </w:t>
            </w:r>
            <w:proofErr w:type="spellStart"/>
            <w:r>
              <w:rPr>
                <w:b/>
                <w:bCs/>
              </w:rPr>
              <w:t>Equipo</w:t>
            </w:r>
            <w:proofErr w:type="spellEnd"/>
            <w:r>
              <w:rPr>
                <w:b/>
                <w:bCs/>
              </w:rPr>
              <w:t xml:space="preserve"> 2 (%)</w:t>
            </w:r>
          </w:p>
        </w:tc>
      </w:tr>
      <w:tr w:rsidR="00FA5BCE">
        <w:tblPrEx>
          <w:tblCellMar>
            <w:top w:w="0" w:type="dxa"/>
            <w:bottom w:w="0" w:type="dxa"/>
          </w:tblCellMar>
        </w:tblPrEx>
        <w:tc>
          <w:tcPr>
            <w:tcW w:w="1000" w:type="pct"/>
          </w:tcPr>
          <w:p w:rsidR="00FA5BCE" w:rsidRDefault="00A03B5B">
            <w:r>
              <w:t>1</w:t>
            </w:r>
          </w:p>
        </w:tc>
        <w:tc>
          <w:tcPr>
            <w:tcW w:w="2000" w:type="pct"/>
          </w:tcPr>
          <w:p w:rsidR="00FA5BCE" w:rsidRDefault="00A03B5B">
            <w:r>
              <w:t>47.7</w:t>
            </w:r>
          </w:p>
        </w:tc>
        <w:tc>
          <w:tcPr>
            <w:tcW w:w="2000" w:type="pct"/>
          </w:tcPr>
          <w:p w:rsidR="00FA5BCE" w:rsidRDefault="00A03B5B">
            <w:r>
              <w:t>48.4</w:t>
            </w:r>
          </w:p>
        </w:tc>
      </w:tr>
      <w:tr w:rsidR="00FA5BCE">
        <w:tblPrEx>
          <w:tblCellMar>
            <w:top w:w="0" w:type="dxa"/>
            <w:bottom w:w="0" w:type="dxa"/>
          </w:tblCellMar>
        </w:tblPrEx>
        <w:tc>
          <w:tcPr>
            <w:tcW w:w="1000" w:type="pct"/>
          </w:tcPr>
          <w:p w:rsidR="00FA5BCE" w:rsidRDefault="00A03B5B">
            <w:r>
              <w:lastRenderedPageBreak/>
              <w:t>2</w:t>
            </w:r>
          </w:p>
        </w:tc>
        <w:tc>
          <w:tcPr>
            <w:tcW w:w="2000" w:type="pct"/>
          </w:tcPr>
          <w:p w:rsidR="00FA5BCE" w:rsidRDefault="00A03B5B">
            <w:r>
              <w:t>67.5</w:t>
            </w:r>
          </w:p>
        </w:tc>
        <w:tc>
          <w:tcPr>
            <w:tcW w:w="2000" w:type="pct"/>
          </w:tcPr>
          <w:p w:rsidR="00FA5BCE" w:rsidRDefault="00A03B5B">
            <w:r>
              <w:t>68.5</w:t>
            </w:r>
          </w:p>
        </w:tc>
      </w:tr>
      <w:tr w:rsidR="00FA5BCE">
        <w:tblPrEx>
          <w:tblCellMar>
            <w:top w:w="0" w:type="dxa"/>
            <w:bottom w:w="0" w:type="dxa"/>
          </w:tblCellMar>
        </w:tblPrEx>
        <w:tc>
          <w:tcPr>
            <w:tcW w:w="1000" w:type="pct"/>
          </w:tcPr>
          <w:p w:rsidR="00FA5BCE" w:rsidRDefault="00A03B5B">
            <w:bookmarkStart w:id="0" w:name="_GoBack"/>
            <w:r>
              <w:t>3</w:t>
            </w:r>
          </w:p>
        </w:tc>
        <w:tc>
          <w:tcPr>
            <w:tcW w:w="2000" w:type="pct"/>
          </w:tcPr>
          <w:p w:rsidR="00FA5BCE" w:rsidRDefault="00A03B5B">
            <w:r>
              <w:t>82.6</w:t>
            </w:r>
          </w:p>
        </w:tc>
        <w:tc>
          <w:tcPr>
            <w:tcW w:w="2000" w:type="pct"/>
          </w:tcPr>
          <w:p w:rsidR="00FA5BCE" w:rsidRDefault="00A03B5B">
            <w:r>
              <w:t>83.9</w:t>
            </w:r>
          </w:p>
        </w:tc>
      </w:tr>
      <w:bookmarkEnd w:id="0"/>
      <w:tr w:rsidR="00FA5BCE">
        <w:tblPrEx>
          <w:tblCellMar>
            <w:top w:w="0" w:type="dxa"/>
            <w:bottom w:w="0" w:type="dxa"/>
          </w:tblCellMar>
        </w:tblPrEx>
        <w:tc>
          <w:tcPr>
            <w:tcW w:w="1000" w:type="pct"/>
          </w:tcPr>
          <w:p w:rsidR="00FA5BCE" w:rsidRDefault="00A03B5B">
            <w:r>
              <w:t>4</w:t>
            </w:r>
          </w:p>
        </w:tc>
        <w:tc>
          <w:tcPr>
            <w:tcW w:w="2000" w:type="pct"/>
          </w:tcPr>
          <w:p w:rsidR="00FA5BCE" w:rsidRDefault="00A03B5B">
            <w:r>
              <w:t>95.4</w:t>
            </w:r>
          </w:p>
        </w:tc>
        <w:tc>
          <w:tcPr>
            <w:tcW w:w="2000" w:type="pct"/>
          </w:tcPr>
          <w:p w:rsidR="00FA5BCE" w:rsidRDefault="00A03B5B">
            <w:r>
              <w:t>96.9</w:t>
            </w:r>
          </w:p>
        </w:tc>
      </w:tr>
      <w:tr w:rsidR="00FA5BCE">
        <w:tblPrEx>
          <w:tblCellMar>
            <w:top w:w="0" w:type="dxa"/>
            <w:bottom w:w="0" w:type="dxa"/>
          </w:tblCellMar>
        </w:tblPrEx>
        <w:tc>
          <w:tcPr>
            <w:tcW w:w="1000" w:type="pct"/>
          </w:tcPr>
          <w:p w:rsidR="00FA5BCE" w:rsidRDefault="00A03B5B">
            <w:r>
              <w:t>5</w:t>
            </w:r>
          </w:p>
        </w:tc>
        <w:tc>
          <w:tcPr>
            <w:tcW w:w="2000" w:type="pct"/>
          </w:tcPr>
          <w:p w:rsidR="00FA5BCE" w:rsidRDefault="00A03B5B">
            <w:r>
              <w:t>106.7</w:t>
            </w:r>
          </w:p>
        </w:tc>
        <w:tc>
          <w:tcPr>
            <w:tcW w:w="2000" w:type="pct"/>
          </w:tcPr>
          <w:p w:rsidR="00FA5BCE" w:rsidRDefault="00A03B5B">
            <w:r>
              <w:t>108.3</w:t>
            </w:r>
          </w:p>
        </w:tc>
      </w:tr>
      <w:tr w:rsidR="00FA5BCE">
        <w:tblPrEx>
          <w:tblCellMar>
            <w:top w:w="0" w:type="dxa"/>
            <w:bottom w:w="0" w:type="dxa"/>
          </w:tblCellMar>
        </w:tblPrEx>
        <w:tc>
          <w:tcPr>
            <w:tcW w:w="1000" w:type="pct"/>
          </w:tcPr>
          <w:p w:rsidR="00FA5BCE" w:rsidRDefault="00A03B5B">
            <w:r>
              <w:t>6</w:t>
            </w:r>
          </w:p>
        </w:tc>
        <w:tc>
          <w:tcPr>
            <w:tcW w:w="2000" w:type="pct"/>
          </w:tcPr>
          <w:p w:rsidR="00FA5BCE" w:rsidRDefault="00A03B5B">
            <w:r>
              <w:t>116.9</w:t>
            </w:r>
          </w:p>
        </w:tc>
        <w:tc>
          <w:tcPr>
            <w:tcW w:w="2000" w:type="pct"/>
          </w:tcPr>
          <w:p w:rsidR="00FA5BCE" w:rsidRDefault="00A03B5B">
            <w:r>
              <w:t>118.7</w:t>
            </w:r>
          </w:p>
        </w:tc>
      </w:tr>
    </w:tbl>
    <w:p w:rsidR="00FA5BCE" w:rsidRPr="007E2676" w:rsidRDefault="00A03B5B">
      <w:pPr>
        <w:spacing w:after="200"/>
        <w:rPr>
          <w:lang w:val="es-CO"/>
        </w:rPr>
      </w:pPr>
      <w:r w:rsidRPr="007E2676">
        <w:rPr>
          <w:lang w:val="es-CO"/>
        </w:rPr>
        <w:t>El mes 4 es el último punto donde el ancho se mantiene por debajo de ese umbral (95.4% y 96.9%). Más allá de ese horizonte, la proyección deja de ser suficientemente informativa para apoyar decisiones de presupuesto, por lo que se recomienda limitar su uso</w:t>
      </w:r>
      <w:r w:rsidRPr="007E2676">
        <w:rPr>
          <w:lang w:val="es-CO"/>
        </w:rPr>
        <w:t xml:space="preserve"> práctico a los primeros 4 meses.</w:t>
      </w:r>
    </w:p>
    <w:p w:rsidR="00FA5BCE" w:rsidRDefault="00A03B5B">
      <w:pPr>
        <w:pStyle w:val="Ttulo1"/>
        <w:pBdr>
          <w:bottom w:val="single" w:sz="6" w:space="0" w:color="CCCCCC"/>
        </w:pBdr>
        <w:spacing w:before="360" w:after="180"/>
      </w:pPr>
      <w:proofErr w:type="spellStart"/>
      <w:r>
        <w:t>Futuros</w:t>
      </w:r>
      <w:proofErr w:type="spellEnd"/>
      <w:r>
        <w:t xml:space="preserve"> </w:t>
      </w:r>
      <w:proofErr w:type="spellStart"/>
      <w:r>
        <w:t>ajustes</w:t>
      </w:r>
      <w:proofErr w:type="spellEnd"/>
      <w:r>
        <w:t xml:space="preserve"> o </w:t>
      </w:r>
      <w:proofErr w:type="spellStart"/>
      <w:r>
        <w:t>mejoras</w:t>
      </w:r>
      <w:proofErr w:type="spellEnd"/>
    </w:p>
    <w:p w:rsidR="00FA5BCE" w:rsidRPr="007E2676" w:rsidRDefault="00A03B5B">
      <w:pPr>
        <w:pStyle w:val="Prrafodelista"/>
        <w:numPr>
          <w:ilvl w:val="0"/>
          <w:numId w:val="1"/>
        </w:numPr>
        <w:spacing w:after="100"/>
        <w:rPr>
          <w:lang w:val="es-CO"/>
        </w:rPr>
      </w:pPr>
      <w:r w:rsidRPr="007E2676">
        <w:rPr>
          <w:lang w:val="es-CO"/>
        </w:rPr>
        <w:t>Reentrenar el modelo periódicamente a medida que estén disponibles datos reales de meses transcurridos.</w:t>
      </w:r>
    </w:p>
    <w:p w:rsidR="00FA5BCE" w:rsidRPr="007E2676" w:rsidRDefault="00A03B5B">
      <w:pPr>
        <w:pStyle w:val="Prrafodelista"/>
        <w:numPr>
          <w:ilvl w:val="0"/>
          <w:numId w:val="1"/>
        </w:numPr>
        <w:spacing w:after="100"/>
        <w:rPr>
          <w:lang w:val="es-CO"/>
        </w:rPr>
      </w:pPr>
      <w:r w:rsidRPr="007E2676">
        <w:rPr>
          <w:lang w:val="es-CO"/>
        </w:rPr>
        <w:t xml:space="preserve">Incorporar un modelo </w:t>
      </w:r>
      <w:proofErr w:type="gramStart"/>
      <w:r w:rsidRPr="007E2676">
        <w:rPr>
          <w:lang w:val="es-CO"/>
        </w:rPr>
        <w:t>ARIMA(</w:t>
      </w:r>
      <w:proofErr w:type="gramEnd"/>
      <w:r w:rsidRPr="007E2676">
        <w:rPr>
          <w:lang w:val="es-CO"/>
        </w:rPr>
        <w:t xml:space="preserve">3,1,3) para la proyección de Y en lugar de </w:t>
      </w:r>
      <w:proofErr w:type="spellStart"/>
      <w:r w:rsidRPr="007E2676">
        <w:rPr>
          <w:lang w:val="es-CO"/>
        </w:rPr>
        <w:t>random</w:t>
      </w:r>
      <w:proofErr w:type="spellEnd"/>
      <w:r w:rsidRPr="007E2676">
        <w:rPr>
          <w:lang w:val="es-CO"/>
        </w:rPr>
        <w:t xml:space="preserve"> </w:t>
      </w:r>
      <w:proofErr w:type="spellStart"/>
      <w:r w:rsidRPr="007E2676">
        <w:rPr>
          <w:lang w:val="es-CO"/>
        </w:rPr>
        <w:t>walk</w:t>
      </w:r>
      <w:proofErr w:type="spellEnd"/>
      <w:r w:rsidRPr="007E2676">
        <w:rPr>
          <w:lang w:val="es-CO"/>
        </w:rPr>
        <w:t xml:space="preserve"> — se valid</w:t>
      </w:r>
      <w:r w:rsidRPr="007E2676">
        <w:rPr>
          <w:lang w:val="es-CO"/>
        </w:rPr>
        <w:t>ó una mejora real (RMSE ~14% menor), aunque bajo el método actual no impacta el número final del equipo; sería relevante si en el futuro se decide encadenar la proyección de insumos con la del equipo.</w:t>
      </w:r>
    </w:p>
    <w:p w:rsidR="00FA5BCE" w:rsidRPr="007E2676" w:rsidRDefault="00A03B5B">
      <w:pPr>
        <w:pStyle w:val="Prrafodelista"/>
        <w:numPr>
          <w:ilvl w:val="0"/>
          <w:numId w:val="1"/>
        </w:numPr>
        <w:spacing w:after="100"/>
        <w:rPr>
          <w:lang w:val="es-CO"/>
        </w:rPr>
      </w:pPr>
      <w:r w:rsidRPr="007E2676">
        <w:rPr>
          <w:lang w:val="es-CO"/>
        </w:rPr>
        <w:t>Aplicar ponderación temporal (mayor peso a los datos má</w:t>
      </w:r>
      <w:r w:rsidRPr="007E2676">
        <w:rPr>
          <w:lang w:val="es-CO"/>
        </w:rPr>
        <w:t>s recientes) en el modelo de Equipo 2, dado el desplazamiento detectado en el coeficiente de Z.</w:t>
      </w:r>
    </w:p>
    <w:p w:rsidR="00FA5BCE" w:rsidRPr="007E2676" w:rsidRDefault="00A03B5B">
      <w:pPr>
        <w:pStyle w:val="Prrafodelista"/>
        <w:numPr>
          <w:ilvl w:val="0"/>
          <w:numId w:val="1"/>
        </w:numPr>
        <w:spacing w:after="100"/>
        <w:rPr>
          <w:lang w:val="es-CO"/>
        </w:rPr>
      </w:pPr>
      <w:r w:rsidRPr="007E2676">
        <w:rPr>
          <w:lang w:val="es-CO"/>
        </w:rPr>
        <w:t>Incorporar una simulación Monte Carlo para responder preguntas de escenario condicional (por ejemplo, "¿qué pasaría con el costo si Y sube fuertemente el próxim</w:t>
      </w:r>
      <w:r w:rsidRPr="007E2676">
        <w:rPr>
          <w:lang w:val="es-CO"/>
        </w:rPr>
        <w:t>o mes?").</w:t>
      </w:r>
    </w:p>
    <w:p w:rsidR="00FA5BCE" w:rsidRPr="007E2676" w:rsidRDefault="00A03B5B">
      <w:pPr>
        <w:pStyle w:val="Prrafodelista"/>
        <w:numPr>
          <w:ilvl w:val="0"/>
          <w:numId w:val="1"/>
        </w:numPr>
        <w:spacing w:after="100"/>
        <w:rPr>
          <w:lang w:val="es-CO"/>
        </w:rPr>
      </w:pPr>
      <w:r w:rsidRPr="007E2676">
        <w:rPr>
          <w:lang w:val="es-CO"/>
        </w:rPr>
        <w:t>Incorporar el índice de precios al productor de maquinaria de construcción de Estados Unidos (WPU112, disponible en FRED/BLS) como fuente de validación externa o como variable adicional del modelo.</w:t>
      </w:r>
    </w:p>
    <w:p w:rsidR="00FA5BCE" w:rsidRPr="007E2676" w:rsidRDefault="00A03B5B">
      <w:pPr>
        <w:pStyle w:val="Prrafodelista"/>
        <w:numPr>
          <w:ilvl w:val="0"/>
          <w:numId w:val="1"/>
        </w:numPr>
        <w:spacing w:after="100"/>
        <w:rPr>
          <w:lang w:val="es-CO"/>
        </w:rPr>
      </w:pPr>
      <w:r w:rsidRPr="007E2676">
        <w:rPr>
          <w:lang w:val="es-CO"/>
        </w:rPr>
        <w:t xml:space="preserve">Realizar una validación </w:t>
      </w:r>
      <w:proofErr w:type="spellStart"/>
      <w:r w:rsidRPr="007E2676">
        <w:rPr>
          <w:lang w:val="es-CO"/>
        </w:rPr>
        <w:t>walk</w:t>
      </w:r>
      <w:proofErr w:type="spellEnd"/>
      <w:r w:rsidRPr="007E2676">
        <w:rPr>
          <w:lang w:val="es-CO"/>
        </w:rPr>
        <w:t>-forward con múltipl</w:t>
      </w:r>
      <w:r w:rsidRPr="007E2676">
        <w:rPr>
          <w:lang w:val="es-CO"/>
        </w:rPr>
        <w:t>es ventanas de tiempo, en lugar de un único corte de entrenamiento y prueba.</w:t>
      </w:r>
    </w:p>
    <w:p w:rsidR="00FA5BCE" w:rsidRPr="007E2676" w:rsidRDefault="00A03B5B">
      <w:pPr>
        <w:pStyle w:val="Prrafodelista"/>
        <w:numPr>
          <w:ilvl w:val="0"/>
          <w:numId w:val="1"/>
        </w:numPr>
        <w:spacing w:after="100"/>
        <w:rPr>
          <w:lang w:val="es-CO"/>
        </w:rPr>
      </w:pPr>
      <w:r w:rsidRPr="007E2676">
        <w:rPr>
          <w:lang w:val="es-CO"/>
        </w:rPr>
        <w:t xml:space="preserve">Probar </w:t>
      </w:r>
      <w:proofErr w:type="spellStart"/>
      <w:r w:rsidRPr="007E2676">
        <w:rPr>
          <w:lang w:val="es-CO"/>
        </w:rPr>
        <w:t>cointegración</w:t>
      </w:r>
      <w:proofErr w:type="spellEnd"/>
      <w:r w:rsidRPr="007E2676">
        <w:rPr>
          <w:lang w:val="es-CO"/>
        </w:rPr>
        <w:t xml:space="preserve"> entre las materias primas y los equipos (y, de confirmarse, un modelo de corrección de error - ECM): como las series comparten una tendencia común en niveles,</w:t>
      </w:r>
      <w:r w:rsidRPr="007E2676">
        <w:rPr>
          <w:lang w:val="es-CO"/>
        </w:rPr>
        <w:t xml:space="preserve"> podría existir una relación de equilibrio de largo plazo que un modelo basado solo en retornos no alcanza a capturar.</w:t>
      </w:r>
    </w:p>
    <w:p w:rsidR="00FA5BCE" w:rsidRPr="007E2676" w:rsidRDefault="00A03B5B">
      <w:pPr>
        <w:pStyle w:val="Prrafodelista"/>
        <w:numPr>
          <w:ilvl w:val="0"/>
          <w:numId w:val="1"/>
        </w:numPr>
        <w:spacing w:after="100"/>
        <w:rPr>
          <w:lang w:val="es-CO"/>
        </w:rPr>
      </w:pPr>
      <w:r w:rsidRPr="007E2676">
        <w:rPr>
          <w:lang w:val="es-CO"/>
        </w:rPr>
        <w:t xml:space="preserve">Modelar la volatilidad con un GARCH: el ARCH-LM ya confirmó que la varianza del error cambia en el tiempo; un GARCH permitiría bandas de </w:t>
      </w:r>
      <w:r w:rsidRPr="007E2676">
        <w:rPr>
          <w:lang w:val="es-CO"/>
        </w:rPr>
        <w:t>incertidumbre que se ajustan según el momento (más anchas en períodos volátiles, más angostas en períodos tranquilos), en lugar de asumir una volatilidad constante como se hizo acá.</w:t>
      </w:r>
    </w:p>
    <w:p w:rsidR="00FA5BCE" w:rsidRPr="007E2676" w:rsidRDefault="00A03B5B">
      <w:pPr>
        <w:pStyle w:val="Prrafodelista"/>
        <w:numPr>
          <w:ilvl w:val="0"/>
          <w:numId w:val="1"/>
        </w:numPr>
        <w:spacing w:after="100"/>
        <w:rPr>
          <w:lang w:val="es-CO"/>
        </w:rPr>
      </w:pPr>
      <w:r w:rsidRPr="007E2676">
        <w:rPr>
          <w:lang w:val="es-CO"/>
        </w:rPr>
        <w:t xml:space="preserve">Construir las bandas de incertidumbre con la distribución empírica de los retornos (por ejemplo, vía </w:t>
      </w:r>
      <w:proofErr w:type="spellStart"/>
      <w:r w:rsidRPr="007E2676">
        <w:rPr>
          <w:lang w:val="es-CO"/>
        </w:rPr>
        <w:t>bootstrap</w:t>
      </w:r>
      <w:proofErr w:type="spellEnd"/>
      <w:r w:rsidRPr="007E2676">
        <w:rPr>
          <w:lang w:val="es-CO"/>
        </w:rPr>
        <w:t xml:space="preserve">) en lugar de asumir normalidad: el test de </w:t>
      </w:r>
      <w:proofErr w:type="spellStart"/>
      <w:r w:rsidRPr="007E2676">
        <w:rPr>
          <w:lang w:val="es-CO"/>
        </w:rPr>
        <w:t>Jarque-Bera</w:t>
      </w:r>
      <w:proofErr w:type="spellEnd"/>
      <w:r w:rsidRPr="007E2676">
        <w:rPr>
          <w:lang w:val="es-CO"/>
        </w:rPr>
        <w:t xml:space="preserve"> mostró que los residuos no son exactamente normales, así que una banda empírica evitaría d</w:t>
      </w:r>
      <w:r w:rsidRPr="007E2676">
        <w:rPr>
          <w:lang w:val="es-CO"/>
        </w:rPr>
        <w:t>epender de ese supuesto.</w:t>
      </w:r>
    </w:p>
    <w:p w:rsidR="00FA5BCE" w:rsidRPr="007E2676" w:rsidRDefault="00A03B5B">
      <w:pPr>
        <w:pStyle w:val="Ttulo1"/>
        <w:pBdr>
          <w:bottom w:val="single" w:sz="6" w:space="0" w:color="CCCCCC"/>
        </w:pBdr>
        <w:spacing w:before="360" w:after="180"/>
        <w:rPr>
          <w:lang w:val="es-CO"/>
        </w:rPr>
      </w:pPr>
      <w:r w:rsidRPr="007E2676">
        <w:rPr>
          <w:lang w:val="es-CO"/>
        </w:rPr>
        <w:t>Apreciaciones y comentarios del caso (opcional)</w:t>
      </w:r>
    </w:p>
    <w:p w:rsidR="00FA5BCE" w:rsidRPr="007E2676" w:rsidRDefault="00A03B5B">
      <w:pPr>
        <w:spacing w:after="200"/>
        <w:rPr>
          <w:lang w:val="es-CO"/>
        </w:rPr>
      </w:pPr>
      <w:r w:rsidRPr="007E2676">
        <w:rPr>
          <w:lang w:val="es-CO"/>
        </w:rPr>
        <w:t>Más allá de los resultados, quiero dejar una reflexión personal sob</w:t>
      </w:r>
      <w:r w:rsidR="007E2676">
        <w:rPr>
          <w:lang w:val="es-CO"/>
        </w:rPr>
        <w:t xml:space="preserve">re el reto. Lo disfruté </w:t>
      </w:r>
      <w:proofErr w:type="spellStart"/>
      <w:proofErr w:type="gramStart"/>
      <w:r w:rsidR="007E2676">
        <w:rPr>
          <w:lang w:val="es-CO"/>
        </w:rPr>
        <w:t>mucho,</w:t>
      </w:r>
      <w:r w:rsidRPr="007E2676">
        <w:rPr>
          <w:lang w:val="es-CO"/>
        </w:rPr>
        <w:t>me</w:t>
      </w:r>
      <w:proofErr w:type="spellEnd"/>
      <w:proofErr w:type="gramEnd"/>
      <w:r w:rsidRPr="007E2676">
        <w:rPr>
          <w:lang w:val="es-CO"/>
        </w:rPr>
        <w:t xml:space="preserve"> recordó a los desafíos más duros que tuve en la universidad, como cuando trabajáb</w:t>
      </w:r>
      <w:r w:rsidRPr="007E2676">
        <w:rPr>
          <w:lang w:val="es-CO"/>
        </w:rPr>
        <w:t>amos con modelos bayesianos, esa sensación de tener que investigar y pensar en profundidad para poder avanzar. Me sacó de la monotonía del trabajo del día a día y me reconectó con la parte de investigar y aprender que más me gusta.</w:t>
      </w:r>
    </w:p>
    <w:p w:rsidR="00FA5BCE" w:rsidRPr="007E2676" w:rsidRDefault="00A03B5B">
      <w:pPr>
        <w:spacing w:after="200"/>
        <w:rPr>
          <w:lang w:val="es-CO"/>
        </w:rPr>
      </w:pPr>
      <w:r w:rsidRPr="007E2676">
        <w:rPr>
          <w:lang w:val="es-CO"/>
        </w:rPr>
        <w:t>La parte del agente de I</w:t>
      </w:r>
      <w:r w:rsidRPr="007E2676">
        <w:rPr>
          <w:lang w:val="es-CO"/>
        </w:rPr>
        <w:t xml:space="preserve">A fue particularmente difícil porque nunca había construido uno: tuve que estudiar desde cero cómo funciona el uso de herramientas en un modelo de lenguaje, y en el camino me encontré con limitaciones prácticas que no esperaba, como encontrar un proveedor </w:t>
      </w:r>
      <w:r w:rsidRPr="007E2676">
        <w:rPr>
          <w:lang w:val="es-CO"/>
        </w:rPr>
        <w:t>de modelo gratuito que realmente funcionara bien para esto. Aun así, terminé el ejercicio satisfecho con el resultado</w:t>
      </w:r>
      <w:r w:rsidR="007E2676">
        <w:rPr>
          <w:lang w:val="es-CO"/>
        </w:rPr>
        <w:t xml:space="preserve"> </w:t>
      </w:r>
      <w:proofErr w:type="spellStart"/>
      <w:r w:rsidR="007E2676">
        <w:rPr>
          <w:lang w:val="es-CO"/>
        </w:rPr>
        <w:t>mio</w:t>
      </w:r>
      <w:proofErr w:type="spellEnd"/>
      <w:r w:rsidRPr="007E2676">
        <w:rPr>
          <w:lang w:val="es-CO"/>
        </w:rPr>
        <w:t>, justamente porque me exigió estudiar</w:t>
      </w:r>
      <w:r w:rsidR="007E2676">
        <w:rPr>
          <w:lang w:val="es-CO"/>
        </w:rPr>
        <w:t xml:space="preserve"> en serio desde el primer día </w:t>
      </w:r>
      <w:r w:rsidRPr="007E2676">
        <w:rPr>
          <w:lang w:val="es-CO"/>
        </w:rPr>
        <w:t>que es lo que más me gusta hacer.</w:t>
      </w:r>
    </w:p>
    <w:p w:rsidR="007E2676" w:rsidRDefault="007E2676">
      <w:pPr>
        <w:pStyle w:val="Ttulo1"/>
        <w:pBdr>
          <w:bottom w:val="single" w:sz="6" w:space="0" w:color="CCCCCC"/>
        </w:pBdr>
        <w:spacing w:before="360" w:after="180"/>
        <w:rPr>
          <w:lang w:val="es-CO"/>
        </w:rPr>
      </w:pPr>
    </w:p>
    <w:p w:rsidR="00FA5BCE" w:rsidRPr="007E2676" w:rsidRDefault="00A03B5B">
      <w:pPr>
        <w:pStyle w:val="Ttulo1"/>
        <w:pBdr>
          <w:bottom w:val="single" w:sz="6" w:space="0" w:color="CCCCCC"/>
        </w:pBdr>
        <w:spacing w:before="360" w:after="180"/>
        <w:rPr>
          <w:lang w:val="es-CO"/>
        </w:rPr>
      </w:pPr>
      <w:r w:rsidRPr="007E2676">
        <w:rPr>
          <w:lang w:val="es-CO"/>
        </w:rPr>
        <w:lastRenderedPageBreak/>
        <w:t>Arquitectura en la nube propuesta</w:t>
      </w:r>
    </w:p>
    <w:p w:rsidR="00FA5BCE" w:rsidRPr="007E2676" w:rsidRDefault="00A03B5B">
      <w:pPr>
        <w:spacing w:after="200"/>
        <w:rPr>
          <w:lang w:val="es-CO"/>
        </w:rPr>
      </w:pPr>
      <w:r w:rsidRPr="007E2676">
        <w:rPr>
          <w:lang w:val="es-CO"/>
        </w:rPr>
        <w:t>No conté con experiencia previa en AWS ni con el tiempo neces</w:t>
      </w:r>
      <w:r w:rsidRPr="007E2676">
        <w:rPr>
          <w:lang w:val="es-CO"/>
        </w:rPr>
        <w:t>ario para investigarlo en profundidad dentro del plazo de esta prueba, dada la carga laboral actual. Conceptualmente, entiendo que una arquitectura para este caso necesitaría cubrir cuatro partes: un lugar donde almacenar los datos crudos de materias prima</w:t>
      </w:r>
      <w:r w:rsidRPr="007E2676">
        <w:rPr>
          <w:lang w:val="es-CO"/>
        </w:rPr>
        <w:t>s y equipos, un proceso que los limpie y prepare (equivalente a lo hecho en el notebook), un entorno donde correr el modelo de regresión, y una forma de exponer esos resultados para que el agente de IA los consulte. No alcancé a definir con criterio inform</w:t>
      </w:r>
      <w:r w:rsidRPr="007E2676">
        <w:rPr>
          <w:lang w:val="es-CO"/>
        </w:rPr>
        <w:t>ado qué servicio específico de AWS usar en cada una de esas partes ni a const</w:t>
      </w:r>
      <w:r>
        <w:rPr>
          <w:lang w:val="es-CO"/>
        </w:rPr>
        <w:t xml:space="preserve">ruir el </w:t>
      </w:r>
      <w:proofErr w:type="gramStart"/>
      <w:r>
        <w:rPr>
          <w:lang w:val="es-CO"/>
        </w:rPr>
        <w:t>diagrama ,</w:t>
      </w:r>
      <w:proofErr w:type="gramEnd"/>
      <w:r>
        <w:rPr>
          <w:lang w:val="es-CO"/>
        </w:rPr>
        <w:t xml:space="preserve"> </w:t>
      </w:r>
      <w:r w:rsidRPr="007E2676">
        <w:rPr>
          <w:lang w:val="es-CO"/>
        </w:rPr>
        <w:t xml:space="preserve"> prefiero ser honesto al respecto antes que presentar algo que no podría explicar con solidez si se me pregunta en detalle.</w:t>
      </w:r>
    </w:p>
    <w:sectPr w:rsidR="00FA5BCE" w:rsidRPr="007E267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E51A2A"/>
    <w:multiLevelType w:val="hybridMultilevel"/>
    <w:tmpl w:val="DA90796E"/>
    <w:lvl w:ilvl="0" w:tplc="14E4E942">
      <w:start w:val="1"/>
      <w:numFmt w:val="bullet"/>
      <w:lvlText w:val="●"/>
      <w:lvlJc w:val="left"/>
      <w:pPr>
        <w:ind w:left="720" w:hanging="360"/>
      </w:pPr>
    </w:lvl>
    <w:lvl w:ilvl="1" w:tplc="0E5EA73A">
      <w:start w:val="1"/>
      <w:numFmt w:val="bullet"/>
      <w:lvlText w:val="○"/>
      <w:lvlJc w:val="left"/>
      <w:pPr>
        <w:ind w:left="1440" w:hanging="360"/>
      </w:pPr>
    </w:lvl>
    <w:lvl w:ilvl="2" w:tplc="C6B8F988">
      <w:start w:val="1"/>
      <w:numFmt w:val="bullet"/>
      <w:lvlText w:val="■"/>
      <w:lvlJc w:val="left"/>
      <w:pPr>
        <w:ind w:left="2160" w:hanging="360"/>
      </w:pPr>
    </w:lvl>
    <w:lvl w:ilvl="3" w:tplc="A1BEA6AE">
      <w:start w:val="1"/>
      <w:numFmt w:val="bullet"/>
      <w:lvlText w:val="●"/>
      <w:lvlJc w:val="left"/>
      <w:pPr>
        <w:ind w:left="2880" w:hanging="360"/>
      </w:pPr>
    </w:lvl>
    <w:lvl w:ilvl="4" w:tplc="0BD68472">
      <w:start w:val="1"/>
      <w:numFmt w:val="bullet"/>
      <w:lvlText w:val="○"/>
      <w:lvlJc w:val="left"/>
      <w:pPr>
        <w:ind w:left="3600" w:hanging="360"/>
      </w:pPr>
    </w:lvl>
    <w:lvl w:ilvl="5" w:tplc="96585244">
      <w:start w:val="1"/>
      <w:numFmt w:val="bullet"/>
      <w:lvlText w:val="■"/>
      <w:lvlJc w:val="left"/>
      <w:pPr>
        <w:ind w:left="4320" w:hanging="360"/>
      </w:pPr>
    </w:lvl>
    <w:lvl w:ilvl="6" w:tplc="944CBA96">
      <w:start w:val="1"/>
      <w:numFmt w:val="bullet"/>
      <w:lvlText w:val="●"/>
      <w:lvlJc w:val="left"/>
      <w:pPr>
        <w:ind w:left="5040" w:hanging="360"/>
      </w:pPr>
    </w:lvl>
    <w:lvl w:ilvl="7" w:tplc="BD32A7DE">
      <w:start w:val="1"/>
      <w:numFmt w:val="bullet"/>
      <w:lvlText w:val="●"/>
      <w:lvlJc w:val="left"/>
      <w:pPr>
        <w:ind w:left="5760" w:hanging="360"/>
      </w:pPr>
    </w:lvl>
    <w:lvl w:ilvl="8" w:tplc="86CCE1A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BCE"/>
    <w:rsid w:val="007E2676"/>
    <w:rsid w:val="00A03B5B"/>
    <w:rsid w:val="00FA5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E22C8"/>
  <w15:docId w15:val="{3F32883E-F781-4870-A01B-D1BA6BFEE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2361</Words>
  <Characters>13458</Characters>
  <Application>Microsoft Office Word</Application>
  <DocSecurity>0</DocSecurity>
  <Lines>112</Lines>
  <Paragraphs>31</Paragraphs>
  <ScaleCrop>false</ScaleCrop>
  <Company/>
  <LinksUpToDate>false</LinksUpToDate>
  <CharactersWithSpaces>15788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2026-08-06T01:15:00Z</dcterms:created>
  <dcterms:modified xsi:type="dcterms:W3CDTF">2026-08-06T01:24:00Z</dcterms:modified>
</cp:coreProperties>
</file>