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9DD2F" w14:textId="77777777" w:rsidR="009502F0" w:rsidRPr="009502F0" w:rsidRDefault="009502F0" w:rsidP="009502F0">
      <w:pPr>
        <w:rPr>
          <w:b/>
          <w:bCs/>
          <w:sz w:val="36"/>
          <w:szCs w:val="36"/>
        </w:rPr>
      </w:pPr>
      <w:r w:rsidRPr="009502F0">
        <w:rPr>
          <w:b/>
          <w:bCs/>
          <w:sz w:val="36"/>
          <w:szCs w:val="36"/>
        </w:rPr>
        <w:t xml:space="preserve">A Stratified, Lineage-Agnostic Analysis of </w:t>
      </w:r>
      <w:proofErr w:type="spellStart"/>
      <w:r w:rsidRPr="009502F0">
        <w:rPr>
          <w:b/>
          <w:bCs/>
          <w:sz w:val="36"/>
          <w:szCs w:val="36"/>
        </w:rPr>
        <w:t>Persulfide</w:t>
      </w:r>
      <w:proofErr w:type="spellEnd"/>
      <w:r w:rsidRPr="009502F0">
        <w:rPr>
          <w:b/>
          <w:bCs/>
          <w:sz w:val="36"/>
          <w:szCs w:val="36"/>
        </w:rPr>
        <w:t xml:space="preserve">-Related Protein Expression and </w:t>
      </w:r>
      <w:proofErr w:type="spellStart"/>
      <w:r w:rsidRPr="009502F0">
        <w:rPr>
          <w:b/>
          <w:bCs/>
          <w:sz w:val="36"/>
          <w:szCs w:val="36"/>
        </w:rPr>
        <w:t>Erastin</w:t>
      </w:r>
      <w:proofErr w:type="spellEnd"/>
      <w:r w:rsidRPr="009502F0">
        <w:rPr>
          <w:b/>
          <w:bCs/>
          <w:sz w:val="36"/>
          <w:szCs w:val="36"/>
        </w:rPr>
        <w:t xml:space="preserve"> Resistance Across Cancer Cell Lines</w:t>
      </w:r>
    </w:p>
    <w:p w14:paraId="58D74690" w14:textId="77777777" w:rsidR="009502F0" w:rsidRDefault="009502F0" w:rsidP="009502F0">
      <w:r>
        <w:t xml:space="preserve">Ömer Ekmel Kara </w:t>
      </w:r>
    </w:p>
    <w:p w14:paraId="3B3103E2" w14:textId="77777777" w:rsidR="009502F0" w:rsidRDefault="009502F0" w:rsidP="009502F0">
      <w:r>
        <w:t xml:space="preserve">June 2025                     </w:t>
      </w:r>
    </w:p>
    <w:p w14:paraId="55BAF121" w14:textId="416D20ED" w:rsidR="009502F0" w:rsidRPr="009502F0" w:rsidRDefault="00F02028" w:rsidP="009502F0">
      <w:pPr>
        <w:rPr>
          <w:b/>
          <w:bCs/>
          <w:sz w:val="28"/>
          <w:szCs w:val="28"/>
          <w:u w:val="single"/>
        </w:rPr>
      </w:pPr>
      <w:r>
        <w:rPr>
          <w:b/>
          <w:bCs/>
          <w:sz w:val="28"/>
          <w:szCs w:val="28"/>
          <w:u w:val="single"/>
        </w:rPr>
        <w:t xml:space="preserve">1.0 </w:t>
      </w:r>
      <w:r w:rsidR="009502F0" w:rsidRPr="009502F0">
        <w:rPr>
          <w:b/>
          <w:bCs/>
          <w:sz w:val="28"/>
          <w:szCs w:val="28"/>
          <w:u w:val="single"/>
        </w:rPr>
        <w:t>Table of Content</w:t>
      </w:r>
      <w:r>
        <w:rPr>
          <w:b/>
          <w:bCs/>
          <w:sz w:val="28"/>
          <w:szCs w:val="28"/>
          <w:u w:val="single"/>
        </w:rPr>
        <w:t xml:space="preserve"> &amp; Abbreviations</w:t>
      </w:r>
      <w:r w:rsidR="009502F0" w:rsidRPr="009502F0">
        <w:rPr>
          <w:b/>
          <w:bCs/>
          <w:sz w:val="28"/>
          <w:szCs w:val="28"/>
          <w:u w:val="single"/>
        </w:rPr>
        <w:t xml:space="preserve">                           </w:t>
      </w:r>
    </w:p>
    <w:p w14:paraId="27BE8B34" w14:textId="0AFF5332" w:rsidR="00C128FB" w:rsidRDefault="00C128FB" w:rsidP="00C128FB">
      <w:pPr>
        <w:rPr>
          <w:b/>
          <w:bCs/>
          <w:i/>
          <w:iCs/>
        </w:rPr>
      </w:pPr>
      <w:r w:rsidRPr="00C128FB">
        <w:rPr>
          <w:b/>
          <w:bCs/>
        </w:rPr>
        <w:t>1.0</w:t>
      </w:r>
      <w:r w:rsidRPr="00C128FB">
        <w:rPr>
          <w:b/>
          <w:bCs/>
        </w:rPr>
        <w:t> </w:t>
      </w:r>
      <w:r w:rsidRPr="00C128FB">
        <w:rPr>
          <w:b/>
          <w:bCs/>
        </w:rPr>
        <w:t xml:space="preserve">Table of Contents &amp; Abbreviations – </w:t>
      </w:r>
      <w:proofErr w:type="spellStart"/>
      <w:r w:rsidRPr="00C128FB">
        <w:rPr>
          <w:b/>
          <w:bCs/>
          <w:i/>
          <w:iCs/>
        </w:rPr>
        <w:t>pg</w:t>
      </w:r>
      <w:proofErr w:type="spellEnd"/>
      <w:r w:rsidRPr="00C128FB">
        <w:rPr>
          <w:b/>
          <w:bCs/>
          <w:i/>
          <w:iCs/>
        </w:rPr>
        <w:t xml:space="preserve"> 1</w:t>
      </w:r>
      <w:r w:rsidRPr="00C128FB">
        <w:rPr>
          <w:b/>
          <w:bCs/>
        </w:rPr>
        <w:br/>
        <w:t>2.0</w:t>
      </w:r>
      <w:r w:rsidRPr="00C128FB">
        <w:rPr>
          <w:b/>
          <w:bCs/>
        </w:rPr>
        <w:t> </w:t>
      </w:r>
      <w:r w:rsidRPr="00C128FB">
        <w:rPr>
          <w:b/>
          <w:bCs/>
        </w:rPr>
        <w:t xml:space="preserve">Background – </w:t>
      </w:r>
      <w:proofErr w:type="spellStart"/>
      <w:r w:rsidRPr="00C128FB">
        <w:rPr>
          <w:b/>
          <w:bCs/>
          <w:i/>
          <w:iCs/>
        </w:rPr>
        <w:t>pg</w:t>
      </w:r>
      <w:proofErr w:type="spellEnd"/>
      <w:r w:rsidRPr="00C128FB">
        <w:rPr>
          <w:b/>
          <w:bCs/>
          <w:i/>
          <w:iCs/>
        </w:rPr>
        <w:t xml:space="preserve"> 2</w:t>
      </w:r>
      <w:r w:rsidRPr="00C128FB">
        <w:rPr>
          <w:b/>
          <w:bCs/>
        </w:rPr>
        <w:br/>
        <w:t>3.0</w:t>
      </w:r>
      <w:r w:rsidRPr="00C128FB">
        <w:rPr>
          <w:b/>
          <w:bCs/>
        </w:rPr>
        <w:t> </w:t>
      </w:r>
      <w:r w:rsidRPr="00C128FB">
        <w:rPr>
          <w:b/>
          <w:bCs/>
        </w:rPr>
        <w:t xml:space="preserve">Introduction – </w:t>
      </w:r>
      <w:proofErr w:type="spellStart"/>
      <w:r w:rsidRPr="00C128FB">
        <w:rPr>
          <w:b/>
          <w:bCs/>
          <w:i/>
          <w:iCs/>
        </w:rPr>
        <w:t>pg</w:t>
      </w:r>
      <w:proofErr w:type="spellEnd"/>
      <w:r w:rsidRPr="00C128FB">
        <w:rPr>
          <w:b/>
          <w:bCs/>
          <w:i/>
          <w:iCs/>
        </w:rPr>
        <w:t xml:space="preserve"> 2–3</w:t>
      </w:r>
      <w:r w:rsidRPr="00C128FB">
        <w:rPr>
          <w:b/>
          <w:bCs/>
        </w:rPr>
        <w:br/>
        <w:t>4.0</w:t>
      </w:r>
      <w:r w:rsidRPr="00C128FB">
        <w:rPr>
          <w:b/>
          <w:bCs/>
        </w:rPr>
        <w:t> </w:t>
      </w:r>
      <w:r w:rsidRPr="00C128FB">
        <w:rPr>
          <w:b/>
          <w:bCs/>
        </w:rPr>
        <w:t xml:space="preserve">Methods and Experimental Design – </w:t>
      </w:r>
      <w:proofErr w:type="spellStart"/>
      <w:r w:rsidRPr="00C128FB">
        <w:rPr>
          <w:b/>
          <w:bCs/>
          <w:i/>
          <w:iCs/>
        </w:rPr>
        <w:t>pg</w:t>
      </w:r>
      <w:proofErr w:type="spellEnd"/>
      <w:r w:rsidRPr="00C128FB">
        <w:rPr>
          <w:b/>
          <w:bCs/>
          <w:i/>
          <w:iCs/>
        </w:rPr>
        <w:t xml:space="preserve"> 3–6</w:t>
      </w:r>
      <w:r w:rsidRPr="00C128FB">
        <w:rPr>
          <w:b/>
          <w:bCs/>
        </w:rPr>
        <w:br/>
      </w:r>
      <w:r w:rsidRPr="00C128FB">
        <w:rPr>
          <w:b/>
          <w:bCs/>
        </w:rPr>
        <w:t> </w:t>
      </w:r>
      <w:r w:rsidRPr="00C128FB">
        <w:rPr>
          <w:b/>
          <w:bCs/>
        </w:rPr>
        <w:t> </w:t>
      </w:r>
      <w:r w:rsidRPr="00C128FB">
        <w:rPr>
          <w:b/>
          <w:bCs/>
        </w:rPr>
        <w:t>4.1</w:t>
      </w:r>
      <w:r w:rsidRPr="00C128FB">
        <w:rPr>
          <w:b/>
          <w:bCs/>
        </w:rPr>
        <w:t> </w:t>
      </w:r>
      <w:r w:rsidRPr="00C128FB">
        <w:rPr>
          <w:b/>
          <w:bCs/>
        </w:rPr>
        <w:t xml:space="preserve">Statistical Methods – </w:t>
      </w:r>
      <w:proofErr w:type="spellStart"/>
      <w:r w:rsidRPr="00C128FB">
        <w:rPr>
          <w:b/>
          <w:bCs/>
          <w:i/>
          <w:iCs/>
        </w:rPr>
        <w:t>pg</w:t>
      </w:r>
      <w:proofErr w:type="spellEnd"/>
      <w:r w:rsidRPr="00C128FB">
        <w:rPr>
          <w:b/>
          <w:bCs/>
          <w:i/>
          <w:iCs/>
        </w:rPr>
        <w:t xml:space="preserve"> 3–4</w:t>
      </w:r>
      <w:r w:rsidRPr="00C128FB">
        <w:rPr>
          <w:b/>
          <w:bCs/>
        </w:rPr>
        <w:br/>
      </w:r>
      <w:r w:rsidRPr="00C128FB">
        <w:rPr>
          <w:b/>
          <w:bCs/>
        </w:rPr>
        <w:t> </w:t>
      </w:r>
      <w:r w:rsidRPr="00C128FB">
        <w:rPr>
          <w:b/>
          <w:bCs/>
        </w:rPr>
        <w:t> </w:t>
      </w:r>
      <w:r w:rsidRPr="00C128FB">
        <w:rPr>
          <w:b/>
          <w:bCs/>
        </w:rPr>
        <w:t> </w:t>
      </w:r>
      <w:r w:rsidRPr="00C128FB">
        <w:rPr>
          <w:b/>
          <w:bCs/>
        </w:rPr>
        <w:t> </w:t>
      </w:r>
      <w:r w:rsidRPr="00C128FB">
        <w:rPr>
          <w:b/>
          <w:bCs/>
        </w:rPr>
        <w:t>4.1.1</w:t>
      </w:r>
      <w:r w:rsidRPr="00C128FB">
        <w:rPr>
          <w:b/>
          <w:bCs/>
        </w:rPr>
        <w:t> </w:t>
      </w:r>
      <w:r w:rsidRPr="00C128FB">
        <w:rPr>
          <w:b/>
          <w:bCs/>
        </w:rPr>
        <w:t xml:space="preserve">Analytical Strategy – </w:t>
      </w:r>
      <w:proofErr w:type="spellStart"/>
      <w:r w:rsidRPr="00C128FB">
        <w:rPr>
          <w:b/>
          <w:bCs/>
          <w:i/>
          <w:iCs/>
        </w:rPr>
        <w:t>pg</w:t>
      </w:r>
      <w:proofErr w:type="spellEnd"/>
      <w:r w:rsidRPr="00C128FB">
        <w:rPr>
          <w:b/>
          <w:bCs/>
          <w:i/>
          <w:iCs/>
        </w:rPr>
        <w:t xml:space="preserve"> 4</w:t>
      </w:r>
      <w:r w:rsidRPr="00C128FB">
        <w:rPr>
          <w:b/>
          <w:bCs/>
        </w:rPr>
        <w:br/>
      </w:r>
      <w:r w:rsidRPr="00C128FB">
        <w:rPr>
          <w:b/>
          <w:bCs/>
        </w:rPr>
        <w:t> </w:t>
      </w:r>
      <w:r w:rsidRPr="00C128FB">
        <w:rPr>
          <w:b/>
          <w:bCs/>
        </w:rPr>
        <w:t> </w:t>
      </w:r>
      <w:r w:rsidRPr="00C128FB">
        <w:rPr>
          <w:b/>
          <w:bCs/>
        </w:rPr>
        <w:t> </w:t>
      </w:r>
      <w:r w:rsidRPr="00C128FB">
        <w:rPr>
          <w:b/>
          <w:bCs/>
        </w:rPr>
        <w:t> </w:t>
      </w:r>
      <w:r w:rsidRPr="00C128FB">
        <w:rPr>
          <w:b/>
          <w:bCs/>
        </w:rPr>
        <w:t>4.1.2</w:t>
      </w:r>
      <w:r w:rsidRPr="00C128FB">
        <w:rPr>
          <w:b/>
          <w:bCs/>
        </w:rPr>
        <w:t> </w:t>
      </w:r>
      <w:r w:rsidRPr="00C128FB">
        <w:rPr>
          <w:b/>
          <w:bCs/>
        </w:rPr>
        <w:t xml:space="preserve">Data Preparation – </w:t>
      </w:r>
      <w:proofErr w:type="spellStart"/>
      <w:r w:rsidRPr="00C128FB">
        <w:rPr>
          <w:b/>
          <w:bCs/>
          <w:i/>
          <w:iCs/>
        </w:rPr>
        <w:t>pg</w:t>
      </w:r>
      <w:proofErr w:type="spellEnd"/>
      <w:r w:rsidRPr="00C128FB">
        <w:rPr>
          <w:b/>
          <w:bCs/>
          <w:i/>
          <w:iCs/>
        </w:rPr>
        <w:t xml:space="preserve"> 4–5</w:t>
      </w:r>
      <w:r w:rsidRPr="00C128FB">
        <w:rPr>
          <w:b/>
          <w:bCs/>
        </w:rPr>
        <w:br/>
      </w:r>
      <w:r w:rsidRPr="00C128FB">
        <w:rPr>
          <w:b/>
          <w:bCs/>
        </w:rPr>
        <w:t> </w:t>
      </w:r>
      <w:r w:rsidRPr="00C128FB">
        <w:rPr>
          <w:b/>
          <w:bCs/>
        </w:rPr>
        <w:t> </w:t>
      </w:r>
      <w:r w:rsidRPr="00C128FB">
        <w:rPr>
          <w:b/>
          <w:bCs/>
        </w:rPr>
        <w:t> </w:t>
      </w:r>
      <w:r w:rsidRPr="00C128FB">
        <w:rPr>
          <w:b/>
          <w:bCs/>
        </w:rPr>
        <w:t> </w:t>
      </w:r>
      <w:r w:rsidRPr="00C128FB">
        <w:rPr>
          <w:b/>
          <w:bCs/>
        </w:rPr>
        <w:t>4.1.3</w:t>
      </w:r>
      <w:r w:rsidRPr="00C128FB">
        <w:rPr>
          <w:b/>
          <w:bCs/>
        </w:rPr>
        <w:t> </w:t>
      </w:r>
      <w:r w:rsidRPr="00C128FB">
        <w:rPr>
          <w:b/>
          <w:bCs/>
        </w:rPr>
        <w:t xml:space="preserve">Simple Linear Correlation Analyses – </w:t>
      </w:r>
      <w:proofErr w:type="spellStart"/>
      <w:r w:rsidRPr="00C128FB">
        <w:rPr>
          <w:b/>
          <w:bCs/>
          <w:i/>
          <w:iCs/>
        </w:rPr>
        <w:t>pg</w:t>
      </w:r>
      <w:proofErr w:type="spellEnd"/>
      <w:r w:rsidRPr="00C128FB">
        <w:rPr>
          <w:b/>
          <w:bCs/>
          <w:i/>
          <w:iCs/>
        </w:rPr>
        <w:t xml:space="preserve"> 5</w:t>
      </w:r>
      <w:r w:rsidRPr="00C128FB">
        <w:rPr>
          <w:b/>
          <w:bCs/>
        </w:rPr>
        <w:br/>
      </w:r>
      <w:r w:rsidRPr="00C128FB">
        <w:rPr>
          <w:b/>
          <w:bCs/>
        </w:rPr>
        <w:t> </w:t>
      </w:r>
      <w:r w:rsidRPr="00C128FB">
        <w:rPr>
          <w:b/>
          <w:bCs/>
        </w:rPr>
        <w:t> </w:t>
      </w:r>
      <w:r w:rsidRPr="00C128FB">
        <w:rPr>
          <w:b/>
          <w:bCs/>
        </w:rPr>
        <w:t> </w:t>
      </w:r>
      <w:r w:rsidRPr="00C128FB">
        <w:rPr>
          <w:b/>
          <w:bCs/>
        </w:rPr>
        <w:t> </w:t>
      </w:r>
      <w:r w:rsidRPr="00C128FB">
        <w:rPr>
          <w:b/>
          <w:bCs/>
        </w:rPr>
        <w:t>4.1.4</w:t>
      </w:r>
      <w:r w:rsidRPr="00C128FB">
        <w:rPr>
          <w:b/>
          <w:bCs/>
        </w:rPr>
        <w:t> </w:t>
      </w:r>
      <w:r w:rsidRPr="00C128FB">
        <w:rPr>
          <w:b/>
          <w:bCs/>
        </w:rPr>
        <w:t xml:space="preserve">Multiple Linear Regressions (MLRs) – </w:t>
      </w:r>
      <w:proofErr w:type="spellStart"/>
      <w:r w:rsidRPr="00C128FB">
        <w:rPr>
          <w:b/>
          <w:bCs/>
          <w:i/>
          <w:iCs/>
        </w:rPr>
        <w:t>pg</w:t>
      </w:r>
      <w:proofErr w:type="spellEnd"/>
      <w:r w:rsidRPr="00C128FB">
        <w:rPr>
          <w:b/>
          <w:bCs/>
          <w:i/>
          <w:iCs/>
        </w:rPr>
        <w:t xml:space="preserve"> 5</w:t>
      </w:r>
      <w:r w:rsidRPr="00C128FB">
        <w:rPr>
          <w:b/>
          <w:bCs/>
        </w:rPr>
        <w:br/>
      </w:r>
      <w:r w:rsidRPr="00C128FB">
        <w:rPr>
          <w:b/>
          <w:bCs/>
        </w:rPr>
        <w:t> </w:t>
      </w:r>
      <w:r w:rsidRPr="00C128FB">
        <w:rPr>
          <w:b/>
          <w:bCs/>
        </w:rPr>
        <w:t> </w:t>
      </w:r>
      <w:r w:rsidRPr="00C128FB">
        <w:rPr>
          <w:b/>
          <w:bCs/>
        </w:rPr>
        <w:t> </w:t>
      </w:r>
      <w:r w:rsidRPr="00C128FB">
        <w:rPr>
          <w:b/>
          <w:bCs/>
        </w:rPr>
        <w:t> </w:t>
      </w:r>
      <w:r w:rsidRPr="00C128FB">
        <w:rPr>
          <w:b/>
          <w:bCs/>
        </w:rPr>
        <w:t>4.1.5</w:t>
      </w:r>
      <w:r w:rsidRPr="00C128FB">
        <w:rPr>
          <w:b/>
          <w:bCs/>
        </w:rPr>
        <w:t> </w:t>
      </w:r>
      <w:r w:rsidRPr="00C128FB">
        <w:rPr>
          <w:b/>
          <w:bCs/>
        </w:rPr>
        <w:t xml:space="preserve">Relative Importance Predictors – </w:t>
      </w:r>
      <w:proofErr w:type="spellStart"/>
      <w:r w:rsidRPr="00C128FB">
        <w:rPr>
          <w:b/>
          <w:bCs/>
          <w:i/>
          <w:iCs/>
        </w:rPr>
        <w:t>pg</w:t>
      </w:r>
      <w:proofErr w:type="spellEnd"/>
      <w:r w:rsidRPr="00C128FB">
        <w:rPr>
          <w:b/>
          <w:bCs/>
          <w:i/>
          <w:iCs/>
        </w:rPr>
        <w:t xml:space="preserve"> </w:t>
      </w:r>
      <w:r w:rsidR="008F0F3A">
        <w:rPr>
          <w:b/>
          <w:bCs/>
          <w:i/>
          <w:iCs/>
        </w:rPr>
        <w:t>6</w:t>
      </w:r>
      <w:r w:rsidRPr="00C128FB">
        <w:rPr>
          <w:b/>
          <w:bCs/>
        </w:rPr>
        <w:t> </w:t>
      </w:r>
      <w:r w:rsidRPr="00C128FB">
        <w:rPr>
          <w:b/>
          <w:bCs/>
        </w:rPr>
        <w:t> </w:t>
      </w:r>
      <w:r w:rsidRPr="00C128FB">
        <w:rPr>
          <w:b/>
          <w:bCs/>
        </w:rPr>
        <w:t> </w:t>
      </w:r>
      <w:r w:rsidRPr="00C128FB">
        <w:rPr>
          <w:b/>
          <w:bCs/>
        </w:rPr>
        <w:t> </w:t>
      </w:r>
      <w:r w:rsidRPr="00C128FB">
        <w:rPr>
          <w:b/>
          <w:bCs/>
        </w:rPr>
        <w:br/>
        <w:t>5.0</w:t>
      </w:r>
      <w:r w:rsidRPr="00C128FB">
        <w:rPr>
          <w:b/>
          <w:bCs/>
        </w:rPr>
        <w:t> </w:t>
      </w:r>
      <w:r w:rsidRPr="00C128FB">
        <w:rPr>
          <w:b/>
          <w:bCs/>
        </w:rPr>
        <w:t xml:space="preserve">Figures and Tables – </w:t>
      </w:r>
      <w:proofErr w:type="spellStart"/>
      <w:r w:rsidRPr="00C128FB">
        <w:rPr>
          <w:b/>
          <w:bCs/>
          <w:i/>
          <w:iCs/>
        </w:rPr>
        <w:t>pg</w:t>
      </w:r>
      <w:proofErr w:type="spellEnd"/>
      <w:r w:rsidRPr="00C128FB">
        <w:rPr>
          <w:b/>
          <w:bCs/>
          <w:i/>
          <w:iCs/>
        </w:rPr>
        <w:t xml:space="preserve"> 6</w:t>
      </w:r>
      <w:r w:rsidRPr="00C128FB">
        <w:rPr>
          <w:b/>
          <w:bCs/>
        </w:rPr>
        <w:br/>
        <w:t>6.0</w:t>
      </w:r>
      <w:r w:rsidRPr="00C128FB">
        <w:rPr>
          <w:b/>
          <w:bCs/>
        </w:rPr>
        <w:t> </w:t>
      </w:r>
      <w:r w:rsidRPr="00C128FB">
        <w:rPr>
          <w:b/>
          <w:bCs/>
        </w:rPr>
        <w:t xml:space="preserve">Interpretation – </w:t>
      </w:r>
      <w:proofErr w:type="spellStart"/>
      <w:r w:rsidRPr="00C128FB">
        <w:rPr>
          <w:b/>
          <w:bCs/>
          <w:i/>
          <w:iCs/>
        </w:rPr>
        <w:t>pg</w:t>
      </w:r>
      <w:proofErr w:type="spellEnd"/>
      <w:r w:rsidRPr="00C128FB">
        <w:rPr>
          <w:b/>
          <w:bCs/>
          <w:i/>
          <w:iCs/>
        </w:rPr>
        <w:t xml:space="preserve"> 1</w:t>
      </w:r>
      <w:r w:rsidR="009F5785">
        <w:rPr>
          <w:b/>
          <w:bCs/>
          <w:i/>
          <w:iCs/>
        </w:rPr>
        <w:t>1</w:t>
      </w:r>
      <w:r w:rsidRPr="00C128FB">
        <w:rPr>
          <w:b/>
          <w:bCs/>
        </w:rPr>
        <w:br/>
        <w:t>7.0</w:t>
      </w:r>
      <w:r w:rsidRPr="00C128FB">
        <w:rPr>
          <w:b/>
          <w:bCs/>
        </w:rPr>
        <w:t> </w:t>
      </w:r>
      <w:r w:rsidRPr="00C128FB">
        <w:rPr>
          <w:b/>
          <w:bCs/>
        </w:rPr>
        <w:t xml:space="preserve">Conclusion – </w:t>
      </w:r>
      <w:proofErr w:type="spellStart"/>
      <w:r w:rsidRPr="00C128FB">
        <w:rPr>
          <w:b/>
          <w:bCs/>
          <w:i/>
          <w:iCs/>
        </w:rPr>
        <w:t>pg</w:t>
      </w:r>
      <w:proofErr w:type="spellEnd"/>
      <w:r w:rsidRPr="00C128FB">
        <w:rPr>
          <w:b/>
          <w:bCs/>
          <w:i/>
          <w:iCs/>
        </w:rPr>
        <w:t xml:space="preserve"> 12–13</w:t>
      </w:r>
      <w:r w:rsidRPr="00C128FB">
        <w:rPr>
          <w:b/>
          <w:bCs/>
        </w:rPr>
        <w:br/>
        <w:t>8.0</w:t>
      </w:r>
      <w:r w:rsidRPr="00C128FB">
        <w:rPr>
          <w:b/>
          <w:bCs/>
        </w:rPr>
        <w:t> </w:t>
      </w:r>
      <w:r w:rsidRPr="00C128FB">
        <w:rPr>
          <w:b/>
          <w:bCs/>
        </w:rPr>
        <w:t xml:space="preserve">References – </w:t>
      </w:r>
      <w:proofErr w:type="spellStart"/>
      <w:r w:rsidRPr="00C128FB">
        <w:rPr>
          <w:b/>
          <w:bCs/>
          <w:i/>
          <w:iCs/>
        </w:rPr>
        <w:t>pg</w:t>
      </w:r>
      <w:proofErr w:type="spellEnd"/>
      <w:r w:rsidRPr="00C128FB">
        <w:rPr>
          <w:b/>
          <w:bCs/>
          <w:i/>
          <w:iCs/>
        </w:rPr>
        <w:t xml:space="preserve"> 13–14</w:t>
      </w:r>
    </w:p>
    <w:p w14:paraId="36164521" w14:textId="77777777" w:rsidR="00C128FB" w:rsidRPr="00C128FB" w:rsidRDefault="00C128FB" w:rsidP="00C128FB">
      <w:pPr>
        <w:rPr>
          <w:b/>
          <w:bCs/>
        </w:rPr>
      </w:pPr>
    </w:p>
    <w:p w14:paraId="6404835A" w14:textId="77777777" w:rsidR="00D31881" w:rsidRDefault="00F02028" w:rsidP="001A71F4">
      <w:pPr>
        <w:rPr>
          <w:b/>
          <w:bCs/>
          <w:sz w:val="28"/>
          <w:szCs w:val="28"/>
          <w:u w:val="single"/>
        </w:rPr>
      </w:pPr>
      <w:r w:rsidRPr="00F02028">
        <w:rPr>
          <w:b/>
          <w:bCs/>
          <w:noProof/>
          <w:sz w:val="28"/>
          <w:szCs w:val="28"/>
        </w:rPr>
        <w:drawing>
          <wp:inline distT="0" distB="0" distL="0" distR="0" wp14:anchorId="6A22D1F1" wp14:editId="203C1870">
            <wp:extent cx="4564380" cy="3806012"/>
            <wp:effectExtent l="0" t="0" r="0" b="0"/>
            <wp:docPr id="8986824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7128" cy="3808303"/>
                    </a:xfrm>
                    <a:prstGeom prst="rect">
                      <a:avLst/>
                    </a:prstGeom>
                    <a:noFill/>
                    <a:ln>
                      <a:noFill/>
                    </a:ln>
                  </pic:spPr>
                </pic:pic>
              </a:graphicData>
            </a:graphic>
          </wp:inline>
        </w:drawing>
      </w:r>
    </w:p>
    <w:p w14:paraId="62D59D9E" w14:textId="553B6E55" w:rsidR="001A71F4" w:rsidRPr="001A71F4" w:rsidRDefault="00F02028" w:rsidP="001A71F4">
      <w:pPr>
        <w:rPr>
          <w:b/>
          <w:bCs/>
          <w:sz w:val="28"/>
          <w:szCs w:val="28"/>
          <w:u w:val="single"/>
        </w:rPr>
      </w:pPr>
      <w:r>
        <w:rPr>
          <w:b/>
          <w:bCs/>
          <w:sz w:val="28"/>
          <w:szCs w:val="28"/>
          <w:u w:val="single"/>
        </w:rPr>
        <w:lastRenderedPageBreak/>
        <w:t>2</w:t>
      </w:r>
      <w:r w:rsidR="009A06DF">
        <w:rPr>
          <w:b/>
          <w:bCs/>
          <w:sz w:val="28"/>
          <w:szCs w:val="28"/>
          <w:u w:val="single"/>
        </w:rPr>
        <w:t xml:space="preserve">.0 </w:t>
      </w:r>
      <w:r w:rsidR="001A71F4" w:rsidRPr="001A71F4">
        <w:rPr>
          <w:b/>
          <w:bCs/>
          <w:sz w:val="28"/>
          <w:szCs w:val="28"/>
          <w:u w:val="single"/>
        </w:rPr>
        <w:t>Background</w:t>
      </w:r>
    </w:p>
    <w:p w14:paraId="380CA73E" w14:textId="0E7A89E5" w:rsidR="001A71F4" w:rsidRPr="001A71F4" w:rsidRDefault="001A71F4" w:rsidP="001A71F4">
      <w:r w:rsidRPr="001A71F4">
        <w:t>Ferroptosis is a form of regulated cell death characterized by lipid peroxidation</w:t>
      </w:r>
      <w:r w:rsidR="00AF5EE6">
        <w:t xml:space="preserve"> via iron dependent Fenton reaction</w:t>
      </w:r>
      <w:r w:rsidRPr="001A71F4">
        <w:t xml:space="preserve">. Cancer cells often develop resistance to ferroptosis through various antioxidant </w:t>
      </w:r>
      <w:r w:rsidR="005E4557" w:rsidRPr="001A71F4">
        <w:t>defence</w:t>
      </w:r>
      <w:r w:rsidRPr="001A71F4">
        <w:t xml:space="preserve"> pathways, including glutathione peroxidase 4 (GPX4), ferroptosis suppressor protein 1 (FSP1, also known as AIFM2), </w:t>
      </w:r>
      <w:r w:rsidRPr="00807E5D">
        <w:t xml:space="preserve">and more recently, </w:t>
      </w:r>
      <w:proofErr w:type="spellStart"/>
      <w:r w:rsidRPr="00807E5D">
        <w:t>persulfide</w:t>
      </w:r>
      <w:proofErr w:type="spellEnd"/>
      <w:r w:rsidRPr="00807E5D">
        <w:t>-producing enzymes such as cystathionine β-synthase (CBS)</w:t>
      </w:r>
      <w:r w:rsidR="00807E5D" w:rsidRPr="00807E5D">
        <w:t xml:space="preserve"> (Erdélyi et al., 2021</w:t>
      </w:r>
      <w:r w:rsidR="00AF5EE6">
        <w:t xml:space="preserve">; </w:t>
      </w:r>
      <w:r w:rsidR="00AF5EE6" w:rsidRPr="0004323F">
        <w:t>Berndt et al., 2024</w:t>
      </w:r>
      <w:r w:rsidR="00807E5D" w:rsidRPr="00807E5D">
        <w:t>)</w:t>
      </w:r>
      <w:r w:rsidRPr="00807E5D">
        <w:t>.</w:t>
      </w:r>
      <w:r w:rsidRPr="001A71F4">
        <w:t xml:space="preserve"> However, few studies have systematically investigated how the expression levels of these genes influence ferroptosis sensitivity </w:t>
      </w:r>
      <w:r w:rsidR="00AF5EE6">
        <w:t xml:space="preserve">by </w:t>
      </w:r>
      <w:r w:rsidR="00AF5EE6" w:rsidRPr="001A71F4">
        <w:t>u</w:t>
      </w:r>
      <w:r w:rsidR="00AF5EE6">
        <w:t>tilizing</w:t>
      </w:r>
      <w:r w:rsidRPr="001A71F4">
        <w:t xml:space="preserve"> current large-scale datasets.</w:t>
      </w:r>
    </w:p>
    <w:p w14:paraId="5878BE21" w14:textId="1A5F32D4" w:rsidR="001A71F4" w:rsidRPr="001A71F4" w:rsidRDefault="001A71F4" w:rsidP="001A71F4">
      <w:r w:rsidRPr="001208B6">
        <w:t xml:space="preserve">In this study, </w:t>
      </w:r>
      <w:r w:rsidR="006E6EFE" w:rsidRPr="001208B6">
        <w:t xml:space="preserve">two </w:t>
      </w:r>
      <w:proofErr w:type="spellStart"/>
      <w:r w:rsidR="006E6EFE" w:rsidRPr="001208B6">
        <w:t>independendent</w:t>
      </w:r>
      <w:proofErr w:type="spellEnd"/>
      <w:r w:rsidR="006E6EFE" w:rsidRPr="001208B6">
        <w:t xml:space="preserve"> </w:t>
      </w:r>
      <w:proofErr w:type="spellStart"/>
      <w:r w:rsidRPr="001208B6">
        <w:t>DepMap</w:t>
      </w:r>
      <w:proofErr w:type="spellEnd"/>
      <w:r w:rsidRPr="001208B6">
        <w:t xml:space="preserve"> datasets were </w:t>
      </w:r>
      <w:r w:rsidR="00DA7BC1" w:rsidRPr="001208B6">
        <w:t>used</w:t>
      </w:r>
      <w:r w:rsidRPr="001208B6">
        <w:t xml:space="preserve"> to explore potential correlations between relative resistance to </w:t>
      </w:r>
      <w:proofErr w:type="spellStart"/>
      <w:r w:rsidRPr="001208B6">
        <w:t>erastin</w:t>
      </w:r>
      <w:proofErr w:type="spellEnd"/>
      <w:r w:rsidRPr="001208B6">
        <w:t xml:space="preserve">—a known </w:t>
      </w:r>
      <w:r w:rsidR="0004323F" w:rsidRPr="001208B6">
        <w:t xml:space="preserve">direct </w:t>
      </w:r>
      <w:proofErr w:type="spellStart"/>
      <w:r w:rsidR="0004323F" w:rsidRPr="001208B6">
        <w:t>XCt</w:t>
      </w:r>
      <w:proofErr w:type="spellEnd"/>
      <w:r w:rsidR="0004323F" w:rsidRPr="001208B6">
        <w:t xml:space="preserve"> and indirect GPX4</w:t>
      </w:r>
      <w:r w:rsidRPr="001208B6">
        <w:t xml:space="preserve"> inhibitor and ferroptosis inducer—and the expression of </w:t>
      </w:r>
      <w:r w:rsidR="00D02584" w:rsidRPr="001208B6">
        <w:rPr>
          <w:shd w:val="clear" w:color="auto" w:fill="FFFFFF" w:themeFill="background1"/>
        </w:rPr>
        <w:t>four</w:t>
      </w:r>
      <w:r w:rsidRPr="001208B6">
        <w:rPr>
          <w:shd w:val="clear" w:color="auto" w:fill="FFFFFF" w:themeFill="background1"/>
        </w:rPr>
        <w:t xml:space="preserve"> proteins</w:t>
      </w:r>
      <w:r w:rsidR="00D02584" w:rsidRPr="001208B6">
        <w:rPr>
          <w:shd w:val="clear" w:color="auto" w:fill="FFFFFF" w:themeFill="background1"/>
        </w:rPr>
        <w:t xml:space="preserve"> known for </w:t>
      </w:r>
      <w:proofErr w:type="spellStart"/>
      <w:r w:rsidR="00D02584" w:rsidRPr="001208B6">
        <w:rPr>
          <w:shd w:val="clear" w:color="auto" w:fill="FFFFFF" w:themeFill="background1"/>
        </w:rPr>
        <w:t>persulfide</w:t>
      </w:r>
      <w:proofErr w:type="spellEnd"/>
      <w:r w:rsidR="00D02584" w:rsidRPr="001208B6">
        <w:rPr>
          <w:shd w:val="clear" w:color="auto" w:fill="FFFFFF" w:themeFill="background1"/>
        </w:rPr>
        <w:t>-synthesis and ferroptosis inhibitory effect in different models</w:t>
      </w:r>
      <w:r w:rsidRPr="001208B6">
        <w:rPr>
          <w:shd w:val="clear" w:color="auto" w:fill="FFFFFF" w:themeFill="background1"/>
        </w:rPr>
        <w:t xml:space="preserve">: </w:t>
      </w:r>
      <w:proofErr w:type="spellStart"/>
      <w:r w:rsidR="009D75F0" w:rsidRPr="001208B6">
        <w:rPr>
          <w:shd w:val="clear" w:color="auto" w:fill="FFFFFF" w:themeFill="background1"/>
        </w:rPr>
        <w:t>XCt</w:t>
      </w:r>
      <w:proofErr w:type="spellEnd"/>
      <w:r w:rsidR="009D75F0" w:rsidRPr="001208B6">
        <w:rPr>
          <w:shd w:val="clear" w:color="auto" w:fill="FFFFFF" w:themeFill="background1"/>
        </w:rPr>
        <w:t xml:space="preserve">/SLC7A11, </w:t>
      </w:r>
      <w:r w:rsidRPr="001208B6">
        <w:rPr>
          <w:shd w:val="clear" w:color="auto" w:fill="FFFFFF" w:themeFill="background1"/>
        </w:rPr>
        <w:t xml:space="preserve">CBS, thiosulfate </w:t>
      </w:r>
      <w:proofErr w:type="spellStart"/>
      <w:r w:rsidRPr="001208B6">
        <w:rPr>
          <w:shd w:val="clear" w:color="auto" w:fill="FFFFFF" w:themeFill="background1"/>
        </w:rPr>
        <w:t>sulfurtransferase</w:t>
      </w:r>
      <w:proofErr w:type="spellEnd"/>
      <w:r w:rsidRPr="001208B6">
        <w:rPr>
          <w:shd w:val="clear" w:color="auto" w:fill="FFFFFF" w:themeFill="background1"/>
        </w:rPr>
        <w:t xml:space="preserve"> (TST), and </w:t>
      </w:r>
      <w:proofErr w:type="spellStart"/>
      <w:r w:rsidRPr="001208B6">
        <w:rPr>
          <w:shd w:val="clear" w:color="auto" w:fill="FFFFFF" w:themeFill="background1"/>
        </w:rPr>
        <w:t>mercaptopyruvate</w:t>
      </w:r>
      <w:proofErr w:type="spellEnd"/>
      <w:r w:rsidRPr="001208B6">
        <w:rPr>
          <w:shd w:val="clear" w:color="auto" w:fill="FFFFFF" w:themeFill="background1"/>
        </w:rPr>
        <w:t xml:space="preserve"> </w:t>
      </w:r>
      <w:proofErr w:type="spellStart"/>
      <w:r w:rsidRPr="001208B6">
        <w:rPr>
          <w:shd w:val="clear" w:color="auto" w:fill="FFFFFF" w:themeFill="background1"/>
        </w:rPr>
        <w:t>sulfurtransferase</w:t>
      </w:r>
      <w:proofErr w:type="spellEnd"/>
      <w:r w:rsidRPr="001208B6">
        <w:rPr>
          <w:shd w:val="clear" w:color="auto" w:fill="FFFFFF" w:themeFill="background1"/>
        </w:rPr>
        <w:t xml:space="preserve"> (MPST). Additionally, the effects of GPX4 and </w:t>
      </w:r>
      <w:r w:rsidR="00657F43">
        <w:rPr>
          <w:shd w:val="clear" w:color="auto" w:fill="FFFFFF" w:themeFill="background1"/>
        </w:rPr>
        <w:t>FSP1/</w:t>
      </w:r>
      <w:r w:rsidRPr="001208B6">
        <w:rPr>
          <w:shd w:val="clear" w:color="auto" w:fill="FFFFFF" w:themeFill="background1"/>
        </w:rPr>
        <w:t xml:space="preserve">AIFM2 expression were assessed </w:t>
      </w:r>
      <w:r w:rsidRPr="001208B6">
        <w:t xml:space="preserve">to better understand the role of </w:t>
      </w:r>
      <w:proofErr w:type="spellStart"/>
      <w:r w:rsidRPr="001208B6">
        <w:t>persulfide</w:t>
      </w:r>
      <w:proofErr w:type="spellEnd"/>
      <w:r w:rsidRPr="001208B6">
        <w:t xml:space="preserve"> </w:t>
      </w:r>
      <w:r w:rsidR="00594E3A">
        <w:t xml:space="preserve">synthesizing </w:t>
      </w:r>
      <w:r w:rsidRPr="001208B6">
        <w:t>enzymes in ferroptosis resistance</w:t>
      </w:r>
      <w:r w:rsidR="00D02584" w:rsidRPr="001208B6">
        <w:t xml:space="preserve"> in context dependent manner</w:t>
      </w:r>
      <w:r w:rsidRPr="001208B6">
        <w:t>.</w:t>
      </w:r>
    </w:p>
    <w:p w14:paraId="7974F05D" w14:textId="3481F6E4" w:rsidR="00040902" w:rsidRDefault="001A71F4" w:rsidP="001A71F4">
      <w:r w:rsidRPr="001A71F4">
        <w:t>Elucidating the interplay between these antioxidant mechanisms</w:t>
      </w:r>
      <w:r w:rsidR="001208B6">
        <w:t xml:space="preserve"> with </w:t>
      </w:r>
      <w:proofErr w:type="spellStart"/>
      <w:r w:rsidR="001208B6">
        <w:t>erastin</w:t>
      </w:r>
      <w:proofErr w:type="spellEnd"/>
      <w:r w:rsidR="001208B6">
        <w:t xml:space="preserve"> sensitivity</w:t>
      </w:r>
      <w:r w:rsidRPr="001A71F4">
        <w:t xml:space="preserve"> </w:t>
      </w:r>
      <w:r w:rsidR="001208B6">
        <w:t xml:space="preserve">in various cancer cell lines may </w:t>
      </w:r>
      <w:r w:rsidRPr="001A71F4">
        <w:t>generate initial insights</w:t>
      </w:r>
      <w:r w:rsidR="001208B6">
        <w:t xml:space="preserve"> which may</w:t>
      </w:r>
      <w:r w:rsidR="001208B6" w:rsidRPr="001208B6">
        <w:t xml:space="preserve"> </w:t>
      </w:r>
      <w:r w:rsidR="001208B6" w:rsidRPr="001A71F4">
        <w:t xml:space="preserve">reveal key </w:t>
      </w:r>
      <w:r w:rsidR="001208B6">
        <w:t xml:space="preserve">common </w:t>
      </w:r>
      <w:r w:rsidR="001208B6" w:rsidRPr="001A71F4">
        <w:t>pathways and</w:t>
      </w:r>
      <w:r w:rsidRPr="001A71F4">
        <w:t xml:space="preserve"> the relationship between </w:t>
      </w:r>
      <w:proofErr w:type="spellStart"/>
      <w:r w:rsidRPr="001A71F4">
        <w:t>persulfide</w:t>
      </w:r>
      <w:proofErr w:type="spellEnd"/>
      <w:r w:rsidRPr="001A71F4">
        <w:t xml:space="preserve"> biology and ferroptosis, potentially guiding future targeted investigations.</w:t>
      </w:r>
    </w:p>
    <w:p w14:paraId="3D94ABCD" w14:textId="2BA693D0" w:rsidR="00040902" w:rsidRPr="00040902" w:rsidRDefault="00F02028" w:rsidP="001A71F4">
      <w:pPr>
        <w:rPr>
          <w:b/>
          <w:bCs/>
          <w:sz w:val="28"/>
          <w:szCs w:val="28"/>
          <w:u w:val="single"/>
        </w:rPr>
      </w:pPr>
      <w:r>
        <w:rPr>
          <w:b/>
          <w:bCs/>
          <w:sz w:val="28"/>
          <w:szCs w:val="28"/>
          <w:u w:val="single"/>
        </w:rPr>
        <w:t>3</w:t>
      </w:r>
      <w:r w:rsidR="009A06DF">
        <w:rPr>
          <w:b/>
          <w:bCs/>
          <w:sz w:val="28"/>
          <w:szCs w:val="28"/>
          <w:u w:val="single"/>
        </w:rPr>
        <w:t xml:space="preserve">.0 </w:t>
      </w:r>
      <w:r w:rsidR="00040902" w:rsidRPr="00040902">
        <w:rPr>
          <w:b/>
          <w:bCs/>
          <w:sz w:val="28"/>
          <w:szCs w:val="28"/>
          <w:u w:val="single"/>
        </w:rPr>
        <w:t>Introduction</w:t>
      </w:r>
    </w:p>
    <w:p w14:paraId="2E42B463" w14:textId="76016929" w:rsidR="00A04F07" w:rsidRDefault="00A04F07" w:rsidP="00D565FA">
      <w:r w:rsidRPr="00A04F07">
        <w:t>Ferroptosis is a non-apoptotic form of cell death driven by iron-dependent lipid peroxidation, leading to plasma membrane rupture. Though fundamentally a spontaneous chemical process, its execution is strongly influenced by various metabolic and redox-regulatory pathways</w:t>
      </w:r>
      <w:r w:rsidR="0004323F" w:rsidRPr="0004323F">
        <w:t xml:space="preserve"> (Berndt et al., 2024)</w:t>
      </w:r>
      <w:r w:rsidRPr="00A04F07">
        <w:t>. Several of these pathways present promising targets for therapeutic intervention in degenerative diseases and cancers.</w:t>
      </w:r>
      <w:r>
        <w:t xml:space="preserve"> </w:t>
      </w:r>
      <w:r w:rsidRPr="00A04F07">
        <w:t xml:space="preserve">Small-molecule electrophilic agents such as RSL3 (a GPX4 inhibitor) and </w:t>
      </w:r>
      <w:proofErr w:type="spellStart"/>
      <w:r w:rsidRPr="00A04F07">
        <w:t>erastin</w:t>
      </w:r>
      <w:proofErr w:type="spellEnd"/>
      <w:r w:rsidRPr="00A04F07">
        <w:t xml:space="preserve"> have been used to induce ferroptosis; however, their therapeutic utility is limited due to</w:t>
      </w:r>
      <w:r w:rsidR="001208B6">
        <w:t xml:space="preserve"> reasons such as</w:t>
      </w:r>
      <w:r w:rsidRPr="00A04F07">
        <w:t xml:space="preserve"> high toxicity and the capacity of cancer cells to activate alternative ferroptosis resistance mechanisms, some of which remain poorly understood</w:t>
      </w:r>
      <w:r w:rsidR="0004323F" w:rsidRPr="0004323F">
        <w:t xml:space="preserve"> (Zhang et al., 2022</w:t>
      </w:r>
      <w:r w:rsidR="0004323F">
        <w:t xml:space="preserve">; </w:t>
      </w:r>
      <w:r w:rsidR="0004323F" w:rsidRPr="0004323F">
        <w:t>Diao et al., 2024)</w:t>
      </w:r>
      <w:r w:rsidRPr="00A04F07">
        <w:t>.</w:t>
      </w:r>
    </w:p>
    <w:p w14:paraId="3408B991" w14:textId="31B6E3FE" w:rsidR="00D565FA" w:rsidRPr="00D565FA" w:rsidRDefault="00657F43" w:rsidP="00D565FA">
      <w:r>
        <w:t>AIFM2</w:t>
      </w:r>
      <w:r w:rsidR="00D565FA" w:rsidRPr="00D565FA">
        <w:t xml:space="preserve"> has been firmly established as a key independent regulator of ferroptosis resistance, functioning in parallel to GPX4 across diverse cellular contexts (Berndt et al., 2024). In contrast, while antioxidant enzymes such as PRDX1 and PRDX6 contribute to redox homeostasis through detoxification of reactive oxygen species—and PRDX6 may additionally support </w:t>
      </w:r>
      <w:proofErr w:type="spellStart"/>
      <w:r w:rsidR="00D565FA" w:rsidRPr="00D565FA">
        <w:t>selenoprotein</w:t>
      </w:r>
      <w:proofErr w:type="spellEnd"/>
      <w:r w:rsidR="00D565FA" w:rsidRPr="00D565FA">
        <w:t xml:space="preserve"> biosynthesis—there is no compelling evidence that they can functionally compensate for the genetic loss of GPX4 in a universal manner (Adamiec-</w:t>
      </w:r>
      <w:proofErr w:type="spellStart"/>
      <w:r w:rsidR="00D565FA" w:rsidRPr="00D565FA">
        <w:t>Organisciok</w:t>
      </w:r>
      <w:proofErr w:type="spellEnd"/>
      <w:r w:rsidR="00D565FA" w:rsidRPr="00D565FA">
        <w:t xml:space="preserve"> et al., 2023; Lu et al., 2019; Chen et al., 2024). Unlike</w:t>
      </w:r>
      <w:r>
        <w:t xml:space="preserve"> AIFM2</w:t>
      </w:r>
      <w:r w:rsidR="00D565FA" w:rsidRPr="00D565FA">
        <w:t xml:space="preserve">, which rescues GPX4-deficient cells via its NAD(P)H-dependent CoQ10 regeneration pathway, PRDX family members lack a similarly robust, GPX4-independent mechanism for broad ferroptosis suppression. As demonstrated in Chen et al. (2024), deletion of PRDX6, SCLY, and LRP8 sensitizes cells to ferroptosis when GPX4 is present but has no effect in a GPX4-deficient, </w:t>
      </w:r>
      <w:r>
        <w:t>AIFM2</w:t>
      </w:r>
      <w:r w:rsidR="00D565FA" w:rsidRPr="00D565FA">
        <w:t>-reliant context—underscoring their supportive rather than essential roles outside the GPX4 axis.</w:t>
      </w:r>
    </w:p>
    <w:p w14:paraId="4DC3AF37" w14:textId="66FFB2FF" w:rsidR="00D565FA" w:rsidRPr="00D565FA" w:rsidRDefault="00D565FA" w:rsidP="00D565FA">
      <w:r w:rsidRPr="00D565FA">
        <w:t xml:space="preserve">Parallel to these insights, recent studies have shown that cysteine availability also impacts ferroptosis sensitivity independently of GPX4 (Zhang et al., 2023). </w:t>
      </w:r>
      <w:r w:rsidRPr="00D12EDC">
        <w:t xml:space="preserve">Overexpression of </w:t>
      </w:r>
      <w:proofErr w:type="spellStart"/>
      <w:r w:rsidRPr="00D12EDC">
        <w:t>xCT</w:t>
      </w:r>
      <w:proofErr w:type="spellEnd"/>
      <w:r w:rsidRPr="00D12EDC">
        <w:t xml:space="preserve">, the cystine/glutamate antiporter, </w:t>
      </w:r>
      <w:r w:rsidR="00657F43">
        <w:t>shown to be able to</w:t>
      </w:r>
      <w:r w:rsidRPr="00D12EDC">
        <w:t xml:space="preserve"> complement the loss of GPX4—a phenomenon linked to increased </w:t>
      </w:r>
      <w:r w:rsidRPr="00D12EDC">
        <w:lastRenderedPageBreak/>
        <w:t xml:space="preserve">production of endogenous </w:t>
      </w:r>
      <w:proofErr w:type="spellStart"/>
      <w:r w:rsidRPr="00D12EDC">
        <w:t>persulfide</w:t>
      </w:r>
      <w:proofErr w:type="spellEnd"/>
      <w:r w:rsidRPr="00D12EDC">
        <w:t xml:space="preserve"> species such as GSSH and GSSSH</w:t>
      </w:r>
      <w:r w:rsidR="00D12EDC" w:rsidRPr="00D12EDC">
        <w:t xml:space="preserve"> (</w:t>
      </w:r>
      <w:proofErr w:type="spellStart"/>
      <w:r w:rsidR="00D12EDC" w:rsidRPr="00D12EDC">
        <w:t>Barayeu</w:t>
      </w:r>
      <w:proofErr w:type="spellEnd"/>
      <w:r w:rsidR="00D12EDC" w:rsidRPr="00D12EDC">
        <w:t xml:space="preserve"> et al., 2022)</w:t>
      </w:r>
      <w:r w:rsidRPr="00D12EDC">
        <w:t xml:space="preserve">. </w:t>
      </w:r>
      <w:r w:rsidRPr="00460700">
        <w:t>These species are also upregulated under pro-</w:t>
      </w:r>
      <w:proofErr w:type="spellStart"/>
      <w:r w:rsidRPr="00460700">
        <w:t>ferroptotic</w:t>
      </w:r>
      <w:proofErr w:type="spellEnd"/>
      <w:r w:rsidRPr="00460700">
        <w:t xml:space="preserve"> conditions, suggesting that enhanced </w:t>
      </w:r>
      <w:proofErr w:type="spellStart"/>
      <w:r w:rsidRPr="00460700">
        <w:t>persulfide</w:t>
      </w:r>
      <w:proofErr w:type="spellEnd"/>
      <w:r w:rsidRPr="00460700">
        <w:t xml:space="preserve"> biosynthesis forms part of an adaptive </w:t>
      </w:r>
      <w:proofErr w:type="spellStart"/>
      <w:r w:rsidRPr="00460700">
        <w:t>defense</w:t>
      </w:r>
      <w:proofErr w:type="spellEnd"/>
      <w:r w:rsidRPr="00460700">
        <w:t xml:space="preserve"> against lipid peroxidation. Furthermore, the anti- and pro-</w:t>
      </w:r>
      <w:proofErr w:type="spellStart"/>
      <w:r w:rsidRPr="00460700">
        <w:t>ferroptotic</w:t>
      </w:r>
      <w:proofErr w:type="spellEnd"/>
      <w:r w:rsidRPr="00460700">
        <w:t xml:space="preserve"> roles of CSE (also known as CTH) and ETHE1, respectively, along with contributions from other enzymes like CBS, MPST, and CARS, highlight a broader metabolic axis influencing ferroptosis via regulation of reactive </w:t>
      </w:r>
      <w:proofErr w:type="spellStart"/>
      <w:r w:rsidRPr="00460700">
        <w:t>sulfur</w:t>
      </w:r>
      <w:proofErr w:type="spellEnd"/>
      <w:r w:rsidRPr="00460700">
        <w:t xml:space="preserve"> species</w:t>
      </w:r>
      <w:r w:rsidR="0004323F" w:rsidRPr="00460700">
        <w:t xml:space="preserve"> (Wu et al., 2023)</w:t>
      </w:r>
      <w:r w:rsidRPr="00460700">
        <w:t>.</w:t>
      </w:r>
      <w:r w:rsidRPr="00D565FA">
        <w:t xml:space="preserve"> For example, CBS depletion sensitizes breast cancer cells to ferroptosis without altering GSH or cysteine levels, indicating that its role in H₂S and </w:t>
      </w:r>
      <w:proofErr w:type="spellStart"/>
      <w:r w:rsidRPr="00D565FA">
        <w:t>persulfide</w:t>
      </w:r>
      <w:proofErr w:type="spellEnd"/>
      <w:r w:rsidRPr="00D565FA">
        <w:t xml:space="preserve"> production is functionally significant (Kimura et al., 2021).</w:t>
      </w:r>
    </w:p>
    <w:p w14:paraId="43097448" w14:textId="19195828" w:rsidR="005D6E45" w:rsidRPr="005D6E45" w:rsidRDefault="00D565FA" w:rsidP="00D565FA">
      <w:r w:rsidRPr="00D565FA">
        <w:t xml:space="preserve">Together, these findings illustrate a multifaceted regulatory network wherein both CoQ10-driven antioxidant systems (GPX4, </w:t>
      </w:r>
      <w:r w:rsidR="00657F43">
        <w:t>AIFM2</w:t>
      </w:r>
      <w:r w:rsidRPr="00D565FA">
        <w:t xml:space="preserve">) and RSSH-related </w:t>
      </w:r>
      <w:proofErr w:type="spellStart"/>
      <w:r w:rsidRPr="00D565FA">
        <w:t>sulfur</w:t>
      </w:r>
      <w:proofErr w:type="spellEnd"/>
      <w:r w:rsidRPr="00D565FA">
        <w:t xml:space="preserve"> metabolism impact ferroptosis sensitivity. </w:t>
      </w:r>
      <w:r w:rsidR="005D6E45" w:rsidRPr="005D6E45">
        <w:t xml:space="preserve">However, most of these studies were conducted in a restricted subset of cancer cell lines, often limited to specific tissue origins, and therefore do not capture global trends across diverse cancer lineages. This study aims to highlight the lineage-independent (global) relevance of </w:t>
      </w:r>
      <w:proofErr w:type="spellStart"/>
      <w:r w:rsidR="005D6E45" w:rsidRPr="005D6E45">
        <w:t>persulfide</w:t>
      </w:r>
      <w:proofErr w:type="spellEnd"/>
      <w:r w:rsidR="005D6E45" w:rsidRPr="005D6E45">
        <w:t>-synthesizing enzymes, which have previously been shown to correlate with ferroptosis resistance in context-dependent settings.</w:t>
      </w:r>
    </w:p>
    <w:p w14:paraId="283D636F" w14:textId="479C6310" w:rsidR="00040902" w:rsidRDefault="00D565FA" w:rsidP="001A71F4">
      <w:r w:rsidRPr="00D565FA">
        <w:t xml:space="preserve">Accordingly, this study focused exclusively on GPX4 and FSP1 expression for cellular subgroup stratification and as independent variables in linear and multiple regression models comparing </w:t>
      </w:r>
      <w:proofErr w:type="spellStart"/>
      <w:r w:rsidRPr="00D565FA">
        <w:t>erastin</w:t>
      </w:r>
      <w:proofErr w:type="spellEnd"/>
      <w:r w:rsidRPr="00D565FA">
        <w:t xml:space="preserve"> sensitivity to protein levels—both due to their well-validated, non-redundant mechanisms and to ensure clarity in model interpretation. F</w:t>
      </w:r>
      <w:r w:rsidR="003A39EE">
        <w:t xml:space="preserve">ive </w:t>
      </w:r>
      <w:r w:rsidR="00594E3A">
        <w:t xml:space="preserve">beforementioned </w:t>
      </w:r>
      <w:r w:rsidRPr="00D565FA">
        <w:t xml:space="preserve">key </w:t>
      </w:r>
      <w:proofErr w:type="spellStart"/>
      <w:r w:rsidRPr="00D565FA">
        <w:t>persulfide</w:t>
      </w:r>
      <w:proofErr w:type="spellEnd"/>
      <w:r w:rsidRPr="00D565FA">
        <w:t>-producing enzymes were included as additional variables based on their emerging relevance, providing a biologically grounded framework for understanding cell-type-specific ferroptosis vulnerabilities.</w:t>
      </w:r>
    </w:p>
    <w:p w14:paraId="106F626E" w14:textId="77777777" w:rsidR="007266BC" w:rsidRDefault="007266BC" w:rsidP="001A71F4"/>
    <w:p w14:paraId="41A0E1C8" w14:textId="6F622603" w:rsidR="001A71F4" w:rsidRPr="001A71F4" w:rsidRDefault="00F02028" w:rsidP="001A71F4">
      <w:pPr>
        <w:rPr>
          <w:b/>
          <w:bCs/>
          <w:sz w:val="28"/>
          <w:szCs w:val="28"/>
          <w:u w:val="single"/>
        </w:rPr>
      </w:pPr>
      <w:r>
        <w:rPr>
          <w:b/>
          <w:bCs/>
          <w:sz w:val="28"/>
          <w:szCs w:val="28"/>
          <w:u w:val="single"/>
        </w:rPr>
        <w:t>4</w:t>
      </w:r>
      <w:r w:rsidR="009A06DF">
        <w:rPr>
          <w:b/>
          <w:bCs/>
          <w:sz w:val="28"/>
          <w:szCs w:val="28"/>
          <w:u w:val="single"/>
        </w:rPr>
        <w:t xml:space="preserve">.0 </w:t>
      </w:r>
      <w:r w:rsidR="001A71F4" w:rsidRPr="001A71F4">
        <w:rPr>
          <w:b/>
          <w:bCs/>
          <w:sz w:val="28"/>
          <w:szCs w:val="28"/>
          <w:u w:val="single"/>
        </w:rPr>
        <w:t>Methods and Experimental Design</w:t>
      </w:r>
    </w:p>
    <w:p w14:paraId="3C2D1EA3" w14:textId="0626FE3B" w:rsidR="00090CB4" w:rsidRDefault="001A71F4" w:rsidP="001A71F4">
      <w:proofErr w:type="spellStart"/>
      <w:r w:rsidRPr="00356309">
        <w:t>Erastin</w:t>
      </w:r>
      <w:proofErr w:type="spellEnd"/>
      <w:r w:rsidRPr="00356309">
        <w:t xml:space="preserve"> resistance was operationally defined as the log₂ fold change in cell viability after </w:t>
      </w:r>
      <w:proofErr w:type="spellStart"/>
      <w:r w:rsidRPr="00356309">
        <w:t>erastin</w:t>
      </w:r>
      <w:proofErr w:type="spellEnd"/>
      <w:r w:rsidRPr="00356309">
        <w:t xml:space="preserve"> treatment, sourced from the PRISM Repurposing Public 24Q2 dataset. Protein expression profiles </w:t>
      </w:r>
      <w:r w:rsidR="00545DEC" w:rsidRPr="00356309">
        <w:t xml:space="preserve">of the specific cell lines </w:t>
      </w:r>
      <w:r w:rsidRPr="00356309">
        <w:t xml:space="preserve">were sourced from the </w:t>
      </w:r>
      <w:proofErr w:type="spellStart"/>
      <w:r w:rsidRPr="00356309">
        <w:t>DepMap</w:t>
      </w:r>
      <w:proofErr w:type="spellEnd"/>
      <w:r w:rsidRPr="00356309">
        <w:t xml:space="preserve"> Harmonized MS CCLE Gygi proteomics dataset</w:t>
      </w:r>
      <w:r w:rsidR="00356309" w:rsidRPr="00356309">
        <w:t xml:space="preserve"> (</w:t>
      </w:r>
      <w:r w:rsidR="004D3F81" w:rsidRPr="004D3F81">
        <w:t>Corsello et al., 2020</w:t>
      </w:r>
      <w:r w:rsidR="004D3F81">
        <w:t xml:space="preserve">; </w:t>
      </w:r>
      <w:proofErr w:type="spellStart"/>
      <w:r w:rsidR="00356309" w:rsidRPr="00356309">
        <w:t>Nusinow</w:t>
      </w:r>
      <w:proofErr w:type="spellEnd"/>
      <w:r w:rsidR="00356309" w:rsidRPr="00356309">
        <w:t xml:space="preserve"> et al., 2020)</w:t>
      </w:r>
      <w:r w:rsidRPr="00356309">
        <w:t>.</w:t>
      </w:r>
      <w:r>
        <w:t xml:space="preserve"> </w:t>
      </w:r>
    </w:p>
    <w:p w14:paraId="29FD2197" w14:textId="77777777" w:rsidR="00090CB4" w:rsidRPr="00090CB4" w:rsidRDefault="00090CB4" w:rsidP="00090CB4">
      <w:r w:rsidRPr="00090CB4">
        <w:t xml:space="preserve">Although the "All samples" model provides an overall view of the relationship between protein expression and </w:t>
      </w:r>
      <w:proofErr w:type="spellStart"/>
      <w:r w:rsidRPr="00090CB4">
        <w:t>Erastin</w:t>
      </w:r>
      <w:proofErr w:type="spellEnd"/>
      <w:r w:rsidRPr="00090CB4">
        <w:t xml:space="preserve"> resistance across the full dataset, it may mask context-specific effects due to biological heterogeneity. To address this, stratified subgroup analyses were performed based on GPX4 and AIFM2 expression levels. While these subgroups share overlapping samples and are therefore not fully independent, they offer valuable insight into how protein-resistance associations may shift under differing </w:t>
      </w:r>
      <w:proofErr w:type="spellStart"/>
      <w:r w:rsidRPr="00090CB4">
        <w:t>ferroptotic</w:t>
      </w:r>
      <w:proofErr w:type="spellEnd"/>
      <w:r w:rsidRPr="00090CB4">
        <w:t xml:space="preserve"> regulatory states. These stratified models are not intended to replicate the global analysis, but rather to decompose it into condition-specific contexts.</w:t>
      </w:r>
    </w:p>
    <w:p w14:paraId="7FD7DD5C" w14:textId="4F85C565" w:rsidR="001A71F4" w:rsidRPr="001A71F4" w:rsidRDefault="00545DEC" w:rsidP="001A71F4">
      <w:r>
        <w:t xml:space="preserve">Only cell lines which were present in both datasets were used for the statistical analysis. </w:t>
      </w:r>
      <w:r w:rsidR="001A71F4" w:rsidRPr="001A71F4">
        <w:t>Cell lines were independently categorized into subgroups based on the log₂ fold change (FC) expression levels of two known ferroptosis inhibitors: GPX4 and FSP1 (AIFM2):</w:t>
      </w:r>
    </w:p>
    <w:p w14:paraId="17540896" w14:textId="77777777" w:rsidR="001A71F4" w:rsidRPr="001A71F4" w:rsidRDefault="001A71F4" w:rsidP="001A71F4">
      <w:pPr>
        <w:numPr>
          <w:ilvl w:val="0"/>
          <w:numId w:val="17"/>
        </w:numPr>
      </w:pPr>
      <w:r w:rsidRPr="001A71F4">
        <w:t>High expression (log₂ FC &gt; 1)</w:t>
      </w:r>
    </w:p>
    <w:p w14:paraId="0DDA2734" w14:textId="77777777" w:rsidR="001A71F4" w:rsidRPr="001A71F4" w:rsidRDefault="001A71F4" w:rsidP="001A71F4">
      <w:pPr>
        <w:numPr>
          <w:ilvl w:val="0"/>
          <w:numId w:val="17"/>
        </w:numPr>
      </w:pPr>
      <w:r w:rsidRPr="001A71F4">
        <w:t>Low expression (log₂ FC between -1 and 1)</w:t>
      </w:r>
    </w:p>
    <w:p w14:paraId="051EBF06" w14:textId="77777777" w:rsidR="001A71F4" w:rsidRDefault="001A71F4" w:rsidP="001A71F4">
      <w:pPr>
        <w:numPr>
          <w:ilvl w:val="0"/>
          <w:numId w:val="17"/>
        </w:numPr>
      </w:pPr>
      <w:r w:rsidRPr="001A71F4">
        <w:t>Negligible expression (log₂ FC &lt; -1)</w:t>
      </w:r>
    </w:p>
    <w:p w14:paraId="0BA74849" w14:textId="2FAE4744" w:rsidR="00BA76FD" w:rsidRDefault="00BA76FD" w:rsidP="001A71F4">
      <w:pPr>
        <w:numPr>
          <w:ilvl w:val="0"/>
          <w:numId w:val="17"/>
        </w:numPr>
      </w:pPr>
      <w:r>
        <w:t>Both</w:t>
      </w:r>
      <w:r w:rsidR="00362A11">
        <w:t xml:space="preserve"> GPX4 and AIFM2 expression</w:t>
      </w:r>
      <w:r>
        <w:t xml:space="preserve"> low (</w:t>
      </w:r>
      <w:r w:rsidRPr="001A71F4">
        <w:t xml:space="preserve">log₂ FC &lt; </w:t>
      </w:r>
      <w:r>
        <w:t>0)</w:t>
      </w:r>
    </w:p>
    <w:p w14:paraId="476360A4" w14:textId="29ABDE7E" w:rsidR="00D31881" w:rsidRPr="001A71F4" w:rsidRDefault="00D31881" w:rsidP="001A71F4">
      <w:pPr>
        <w:numPr>
          <w:ilvl w:val="0"/>
          <w:numId w:val="17"/>
        </w:numPr>
      </w:pPr>
      <w:r>
        <w:lastRenderedPageBreak/>
        <w:t>All(full cell set)</w:t>
      </w:r>
    </w:p>
    <w:p w14:paraId="07930773" w14:textId="43B13155" w:rsidR="001A71F4" w:rsidRPr="001A71F4" w:rsidRDefault="001A71F4" w:rsidP="001A71F4">
      <w:r w:rsidRPr="001A71F4">
        <w:t xml:space="preserve">Protein expression levels of GPX4, AIFM2, and the </w:t>
      </w:r>
      <w:r w:rsidR="00D31881">
        <w:t>four</w:t>
      </w:r>
      <w:r w:rsidRPr="001A71F4">
        <w:t xml:space="preserve"> </w:t>
      </w:r>
      <w:proofErr w:type="spellStart"/>
      <w:r w:rsidRPr="001A71F4">
        <w:t>persulfide</w:t>
      </w:r>
      <w:proofErr w:type="spellEnd"/>
      <w:r w:rsidRPr="001A71F4">
        <w:t>-synthesizing enzymes (</w:t>
      </w:r>
      <w:r w:rsidR="000B6F25">
        <w:t xml:space="preserve"> SLC7A11, </w:t>
      </w:r>
      <w:r w:rsidRPr="001A71F4">
        <w:t xml:space="preserve">CBS, TST, MPST) were correlated with </w:t>
      </w:r>
      <w:proofErr w:type="spellStart"/>
      <w:r w:rsidRPr="001A71F4">
        <w:t>erastin</w:t>
      </w:r>
      <w:proofErr w:type="spellEnd"/>
      <w:r w:rsidRPr="001A71F4">
        <w:t xml:space="preserve"> sensitivity (log₂ FC) within these subgroups using the same proteomics dataset.</w:t>
      </w:r>
    </w:p>
    <w:p w14:paraId="2E917815" w14:textId="2055F4B2" w:rsidR="001A71F4" w:rsidRPr="001A71F4" w:rsidRDefault="001A71F4" w:rsidP="001A71F4">
      <w:r w:rsidRPr="001A71F4">
        <w:t>Statistical analyses included simple</w:t>
      </w:r>
      <w:r w:rsidR="00D31881">
        <w:t xml:space="preserve"> correlation and</w:t>
      </w:r>
      <w:r w:rsidRPr="001A71F4">
        <w:t xml:space="preserve"> linear regression (LR)</w:t>
      </w:r>
      <w:r w:rsidR="00D31881">
        <w:t xml:space="preserve"> analysis,</w:t>
      </w:r>
      <w:r w:rsidRPr="001A71F4">
        <w:t xml:space="preserve"> and multiple linear regression (MLR) models to evaluate the effect of gene expression on </w:t>
      </w:r>
      <w:proofErr w:type="spellStart"/>
      <w:r w:rsidRPr="001A71F4">
        <w:t>erastin</w:t>
      </w:r>
      <w:proofErr w:type="spellEnd"/>
      <w:r w:rsidRPr="001A71F4">
        <w:t xml:space="preserve"> resistance. Subgroup-specific analyses were conducted to assess context-dependent associations. Data parsing and normalization were performed in Python, while all regression </w:t>
      </w:r>
      <w:proofErr w:type="spellStart"/>
      <w:r w:rsidRPr="001A71F4">
        <w:t>modeling</w:t>
      </w:r>
      <w:proofErr w:type="spellEnd"/>
      <w:r w:rsidRPr="001A71F4">
        <w:t xml:space="preserve"> and visualization were carried out in R.</w:t>
      </w:r>
      <w:r w:rsidR="00D31881" w:rsidRPr="00D31881">
        <w:t xml:space="preserve"> </w:t>
      </w:r>
      <w:r w:rsidR="00D31881" w:rsidRPr="00EC23BD">
        <w:t xml:space="preserve">Portions of the text and code were edited using ChatGPT-4. The hypotheses, statistical methodologies, and interpretation of results were conceived and executed </w:t>
      </w:r>
      <w:r w:rsidR="00D31881">
        <w:t xml:space="preserve">only </w:t>
      </w:r>
      <w:r w:rsidR="00D31881" w:rsidRPr="00EC23BD">
        <w:t>by the author.</w:t>
      </w:r>
      <w:r w:rsidR="000B6F25" w:rsidRPr="000B6F25">
        <w:t xml:space="preserve"> </w:t>
      </w:r>
      <w:r w:rsidR="000B6F25" w:rsidRPr="001A71F4">
        <w:t>Complete datasets, additional analyses, and scripts are provided in the Supplementary Data File. Further details are described in the “Statistical Methods” section.</w:t>
      </w:r>
    </w:p>
    <w:p w14:paraId="6DB0DF10" w14:textId="1EDE8249" w:rsidR="001A71F4" w:rsidRPr="001A71F4" w:rsidRDefault="00F02028" w:rsidP="001A71F4">
      <w:pPr>
        <w:rPr>
          <w:b/>
          <w:bCs/>
          <w:sz w:val="28"/>
          <w:szCs w:val="28"/>
          <w:u w:val="single"/>
        </w:rPr>
      </w:pPr>
      <w:r>
        <w:rPr>
          <w:b/>
          <w:bCs/>
          <w:sz w:val="28"/>
          <w:szCs w:val="28"/>
          <w:u w:val="single"/>
        </w:rPr>
        <w:t>4</w:t>
      </w:r>
      <w:r w:rsidR="009A06DF">
        <w:rPr>
          <w:b/>
          <w:bCs/>
          <w:sz w:val="28"/>
          <w:szCs w:val="28"/>
          <w:u w:val="single"/>
        </w:rPr>
        <w:t xml:space="preserve">.1 </w:t>
      </w:r>
      <w:r w:rsidR="001A71F4" w:rsidRPr="001A71F4">
        <w:rPr>
          <w:b/>
          <w:bCs/>
          <w:sz w:val="28"/>
          <w:szCs w:val="28"/>
          <w:u w:val="single"/>
        </w:rPr>
        <w:t>Statistical Methods</w:t>
      </w:r>
    </w:p>
    <w:p w14:paraId="356A4AE5" w14:textId="7A9178CA" w:rsidR="001A71F4" w:rsidRPr="003E7D4D" w:rsidRDefault="00F02028" w:rsidP="001A71F4">
      <w:pPr>
        <w:rPr>
          <w:b/>
          <w:bCs/>
          <w:sz w:val="24"/>
          <w:szCs w:val="24"/>
          <w:u w:val="single"/>
        </w:rPr>
      </w:pPr>
      <w:r w:rsidRPr="003E7D4D">
        <w:rPr>
          <w:b/>
          <w:bCs/>
          <w:sz w:val="24"/>
          <w:szCs w:val="24"/>
          <w:u w:val="single"/>
        </w:rPr>
        <w:t>4</w:t>
      </w:r>
      <w:r w:rsidR="009A06DF" w:rsidRPr="003E7D4D">
        <w:rPr>
          <w:b/>
          <w:bCs/>
          <w:sz w:val="24"/>
          <w:szCs w:val="24"/>
          <w:u w:val="single"/>
        </w:rPr>
        <w:t xml:space="preserve">.1.1 </w:t>
      </w:r>
      <w:r w:rsidR="001A71F4" w:rsidRPr="003E7D4D">
        <w:rPr>
          <w:b/>
          <w:bCs/>
          <w:sz w:val="24"/>
          <w:szCs w:val="24"/>
          <w:u w:val="single"/>
        </w:rPr>
        <w:t>Analytical Strategy</w:t>
      </w:r>
    </w:p>
    <w:p w14:paraId="63A380D8" w14:textId="5EBED179" w:rsidR="00090CB4" w:rsidRDefault="00090CB4" w:rsidP="00090CB4">
      <w:r w:rsidRPr="00090CB4">
        <w:t xml:space="preserve">Prior to constructing multiple linear regression (MLR) models, </w:t>
      </w:r>
      <w:r w:rsidR="00F21E7A">
        <w:t xml:space="preserve">parsimonious correlation and </w:t>
      </w:r>
      <w:r w:rsidRPr="00090CB4">
        <w:t xml:space="preserve">simple linear regression (SLR) analyses were conducted to assess the independent associations between </w:t>
      </w:r>
      <w:proofErr w:type="spellStart"/>
      <w:r w:rsidRPr="00090CB4">
        <w:t>Erastin</w:t>
      </w:r>
      <w:proofErr w:type="spellEnd"/>
      <w:r w:rsidRPr="00090CB4">
        <w:t xml:space="preserve"> resistance and each gene of interest within relevant expression-defined subgroups. This step ensured that only candidate predictors with evidence of individual correlation were retained for MLR </w:t>
      </w:r>
      <w:proofErr w:type="spellStart"/>
      <w:r w:rsidRPr="00090CB4">
        <w:t>modeling</w:t>
      </w:r>
      <w:proofErr w:type="spellEnd"/>
      <w:r w:rsidRPr="00090CB4">
        <w:t>. Sample sizes were not normalized across subgroups, and each model was treated independently to preserve biological stratification.</w:t>
      </w:r>
    </w:p>
    <w:p w14:paraId="1292D1F0" w14:textId="77777777" w:rsidR="00090CB4" w:rsidRPr="00090CB4" w:rsidRDefault="00090CB4" w:rsidP="00090CB4">
      <w:r w:rsidRPr="00090CB4">
        <w:t xml:space="preserve">CBS was excluded from MLR analyses, as no significant positive correlation with </w:t>
      </w:r>
      <w:proofErr w:type="spellStart"/>
      <w:r w:rsidRPr="00090CB4">
        <w:t>Erastin</w:t>
      </w:r>
      <w:proofErr w:type="spellEnd"/>
      <w:r w:rsidRPr="00090CB4">
        <w:t xml:space="preserve"> resistance was observed in any subgroup. In contrast, each of the remaining </w:t>
      </w:r>
      <w:proofErr w:type="spellStart"/>
      <w:r w:rsidRPr="00090CB4">
        <w:t>persulfide</w:t>
      </w:r>
      <w:proofErr w:type="spellEnd"/>
      <w:r w:rsidRPr="00090CB4">
        <w:t>-related genes—SLC7A11, TST, and MPST—demonstrated a significant or near-significant correlation in at least one context.</w:t>
      </w:r>
    </w:p>
    <w:p w14:paraId="258C9425" w14:textId="723978AE" w:rsidR="00090CB4" w:rsidRPr="00090CB4" w:rsidRDefault="00090CB4" w:rsidP="00090CB4">
      <w:r w:rsidRPr="00090CB4">
        <w:t>Due to a strong positive correlation between TST and MPST expression (Pearson’s r ≈ 0.5; see Fig. 3A</w:t>
      </w:r>
      <w:r w:rsidR="00C92AF8">
        <w:t xml:space="preserve"> &amp; </w:t>
      </w:r>
      <w:r w:rsidRPr="00090CB4">
        <w:t xml:space="preserve">B), </w:t>
      </w:r>
      <w:r w:rsidR="00B628DF">
        <w:t xml:space="preserve">MLR models were designed to include only </w:t>
      </w:r>
      <w:r w:rsidRPr="00090CB4">
        <w:t xml:space="preserve">one </w:t>
      </w:r>
      <w:r w:rsidR="00B628DF">
        <w:t>of these proteins within a model</w:t>
      </w:r>
      <w:r w:rsidRPr="00090CB4">
        <w:t xml:space="preserve"> </w:t>
      </w:r>
      <w:r w:rsidR="00B628DF">
        <w:t xml:space="preserve">to </w:t>
      </w:r>
      <w:r w:rsidRPr="00090CB4">
        <w:t>avoid multicollinearity. Model performance was evaluated using Pearson correlation coefficients for SLRs and R² values for MLRs. Only statistically significant associations (p &lt; 0.05) or those trending toward significance (0.05 &lt; p &lt; 0.1) are reported in figures.</w:t>
      </w:r>
    </w:p>
    <w:p w14:paraId="5571E3CF" w14:textId="0D3D5717" w:rsidR="00EC23BD" w:rsidRDefault="00090CB4" w:rsidP="00090CB4">
      <w:r w:rsidRPr="00090CB4">
        <w:t xml:space="preserve">To maintain model robustness and interpretability across variable sample sizes (n = 24–270), a parsimonious </w:t>
      </w:r>
      <w:proofErr w:type="spellStart"/>
      <w:r w:rsidRPr="00090CB4">
        <w:t>modeling</w:t>
      </w:r>
      <w:proofErr w:type="spellEnd"/>
      <w:r w:rsidRPr="00090CB4">
        <w:t xml:space="preserve"> strategy was employed. For subgroups with fewer than 50 samples, models were limited to a maximum of three predictors to mitigate overfitting and multicollinearity risks. In larger subgroups, inclusion of additional predictors was justified by greater degrees of freedom and model stability.</w:t>
      </w:r>
    </w:p>
    <w:p w14:paraId="579891D9" w14:textId="77777777" w:rsidR="00D31881" w:rsidRDefault="00D31881" w:rsidP="008E34CA">
      <w:pPr>
        <w:rPr>
          <w:b/>
          <w:bCs/>
          <w:sz w:val="24"/>
          <w:szCs w:val="24"/>
          <w:u w:val="single"/>
        </w:rPr>
      </w:pPr>
    </w:p>
    <w:p w14:paraId="102DE1F4" w14:textId="76312D02" w:rsidR="008E34CA" w:rsidRPr="003E7D4D" w:rsidRDefault="00F02028" w:rsidP="008E34CA">
      <w:pPr>
        <w:rPr>
          <w:b/>
          <w:bCs/>
          <w:sz w:val="24"/>
          <w:szCs w:val="24"/>
          <w:u w:val="single"/>
        </w:rPr>
      </w:pPr>
      <w:r w:rsidRPr="003E7D4D">
        <w:rPr>
          <w:b/>
          <w:bCs/>
          <w:sz w:val="24"/>
          <w:szCs w:val="24"/>
          <w:u w:val="single"/>
        </w:rPr>
        <w:t>4</w:t>
      </w:r>
      <w:r w:rsidR="009A06DF" w:rsidRPr="003E7D4D">
        <w:rPr>
          <w:b/>
          <w:bCs/>
          <w:sz w:val="24"/>
          <w:szCs w:val="24"/>
          <w:u w:val="single"/>
        </w:rPr>
        <w:t xml:space="preserve">.1.2 </w:t>
      </w:r>
      <w:r w:rsidR="008E34CA" w:rsidRPr="003E7D4D">
        <w:rPr>
          <w:b/>
          <w:bCs/>
          <w:sz w:val="24"/>
          <w:szCs w:val="24"/>
          <w:u w:val="single"/>
        </w:rPr>
        <w:t>Data Preparation</w:t>
      </w:r>
    </w:p>
    <w:p w14:paraId="4B4207C9" w14:textId="2FCA718F" w:rsidR="008E34CA" w:rsidRPr="008E34CA" w:rsidRDefault="008E34CA" w:rsidP="008E34CA">
      <w:r w:rsidRPr="008E34CA">
        <w:t xml:space="preserve">Data preprocessing and analysis were performed using the </w:t>
      </w:r>
      <w:r w:rsidRPr="001A2C00">
        <w:t xml:space="preserve">R statistical software (version </w:t>
      </w:r>
      <w:r w:rsidR="001A2C00" w:rsidRPr="001A2C00">
        <w:t>4</w:t>
      </w:r>
      <w:r w:rsidRPr="001A2C00">
        <w:t>.</w:t>
      </w:r>
      <w:r w:rsidR="001A2C00" w:rsidRPr="001A2C00">
        <w:t>4.3</w:t>
      </w:r>
      <w:r w:rsidRPr="001A2C00">
        <w:t>).</w:t>
      </w:r>
      <w:r w:rsidRPr="008E34CA">
        <w:t xml:space="preserve"> Key packages utilized included:</w:t>
      </w:r>
    </w:p>
    <w:p w14:paraId="3F318210" w14:textId="77777777" w:rsidR="008E34CA" w:rsidRPr="008E34CA" w:rsidRDefault="008E34CA" w:rsidP="008E34CA">
      <w:pPr>
        <w:numPr>
          <w:ilvl w:val="0"/>
          <w:numId w:val="7"/>
        </w:numPr>
      </w:pPr>
      <w:proofErr w:type="spellStart"/>
      <w:r w:rsidRPr="008E34CA">
        <w:t>tidyverse</w:t>
      </w:r>
      <w:proofErr w:type="spellEnd"/>
      <w:r w:rsidRPr="008E34CA">
        <w:t xml:space="preserve"> for data manipulation and visualization</w:t>
      </w:r>
    </w:p>
    <w:p w14:paraId="695763B2" w14:textId="77777777" w:rsidR="008E34CA" w:rsidRPr="008E34CA" w:rsidRDefault="008E34CA" w:rsidP="008E34CA">
      <w:pPr>
        <w:numPr>
          <w:ilvl w:val="0"/>
          <w:numId w:val="7"/>
        </w:numPr>
      </w:pPr>
      <w:r w:rsidRPr="008E34CA">
        <w:t>broom for tidying model outputs</w:t>
      </w:r>
    </w:p>
    <w:p w14:paraId="5898933B" w14:textId="77777777" w:rsidR="008E34CA" w:rsidRPr="008E34CA" w:rsidRDefault="008E34CA" w:rsidP="008E34CA">
      <w:pPr>
        <w:numPr>
          <w:ilvl w:val="0"/>
          <w:numId w:val="7"/>
        </w:numPr>
      </w:pPr>
      <w:r w:rsidRPr="008E34CA">
        <w:t>car for calculating Variance Inflation Factor (VIF)</w:t>
      </w:r>
    </w:p>
    <w:p w14:paraId="70552A07" w14:textId="77777777" w:rsidR="008E34CA" w:rsidRPr="008E34CA" w:rsidRDefault="008E34CA" w:rsidP="008E34CA">
      <w:pPr>
        <w:numPr>
          <w:ilvl w:val="0"/>
          <w:numId w:val="7"/>
        </w:numPr>
      </w:pPr>
      <w:proofErr w:type="spellStart"/>
      <w:r w:rsidRPr="008E34CA">
        <w:lastRenderedPageBreak/>
        <w:t>relaimpo</w:t>
      </w:r>
      <w:proofErr w:type="spellEnd"/>
      <w:r w:rsidRPr="008E34CA">
        <w:t xml:space="preserve"> for assessing relative importance of predictors</w:t>
      </w:r>
    </w:p>
    <w:p w14:paraId="0E3A4874" w14:textId="77777777" w:rsidR="008E34CA" w:rsidRPr="008E34CA" w:rsidRDefault="008E34CA" w:rsidP="008E34CA">
      <w:pPr>
        <w:numPr>
          <w:ilvl w:val="0"/>
          <w:numId w:val="7"/>
        </w:numPr>
      </w:pPr>
      <w:proofErr w:type="spellStart"/>
      <w:r w:rsidRPr="008E34CA">
        <w:t>openxlsx</w:t>
      </w:r>
      <w:proofErr w:type="spellEnd"/>
      <w:r w:rsidRPr="008E34CA">
        <w:t xml:space="preserve"> for exporting results to Excel</w:t>
      </w:r>
    </w:p>
    <w:p w14:paraId="6CFA51FF" w14:textId="1A5DF8BC" w:rsidR="008E34CA" w:rsidRDefault="008E34CA" w:rsidP="008E34CA">
      <w:r w:rsidRPr="008E34CA">
        <w:t xml:space="preserve">The main outcome variable was the log2 fold change in </w:t>
      </w:r>
      <w:proofErr w:type="spellStart"/>
      <w:r w:rsidRPr="008E34CA">
        <w:t>Erastin</w:t>
      </w:r>
      <w:proofErr w:type="spellEnd"/>
      <w:r w:rsidRPr="008E34CA">
        <w:t xml:space="preserve"> resistance, denoted as </w:t>
      </w:r>
      <w:r w:rsidRPr="008E34CA">
        <w:rPr>
          <w:i/>
          <w:iCs/>
        </w:rPr>
        <w:t>Y</w:t>
      </w:r>
      <w:r w:rsidRPr="008E34CA">
        <w:t>. Predictor variables included protein expression levels of GPX4, CBS,</w:t>
      </w:r>
      <w:r w:rsidR="00E51C49">
        <w:t xml:space="preserve"> SLC7A11,</w:t>
      </w:r>
      <w:r w:rsidRPr="008E34CA">
        <w:t xml:space="preserve"> TST, MPST, and AIFM2, denoted as </w:t>
      </w:r>
      <w:r w:rsidRPr="008E34CA">
        <w:rPr>
          <w:i/>
          <w:iCs/>
        </w:rPr>
        <w:t xml:space="preserve">X₁, X₂, ..., </w:t>
      </w:r>
      <w:proofErr w:type="spellStart"/>
      <w:r w:rsidRPr="008E34CA">
        <w:rPr>
          <w:i/>
          <w:iCs/>
        </w:rPr>
        <w:t>X_p</w:t>
      </w:r>
      <w:proofErr w:type="spellEnd"/>
      <w:r w:rsidRPr="008E34CA">
        <w:t>.</w:t>
      </w:r>
    </w:p>
    <w:p w14:paraId="4E1165CF" w14:textId="4F77C7F9" w:rsidR="003A54BE" w:rsidRPr="003E7D4D" w:rsidRDefault="00F02028" w:rsidP="003A54BE">
      <w:pPr>
        <w:rPr>
          <w:b/>
          <w:bCs/>
          <w:sz w:val="24"/>
          <w:szCs w:val="24"/>
          <w:u w:val="single"/>
        </w:rPr>
      </w:pPr>
      <w:r w:rsidRPr="003E7D4D">
        <w:rPr>
          <w:b/>
          <w:bCs/>
          <w:sz w:val="24"/>
          <w:szCs w:val="24"/>
          <w:u w:val="single"/>
        </w:rPr>
        <w:t>4</w:t>
      </w:r>
      <w:r w:rsidR="009A06DF" w:rsidRPr="003E7D4D">
        <w:rPr>
          <w:b/>
          <w:bCs/>
          <w:sz w:val="24"/>
          <w:szCs w:val="24"/>
          <w:u w:val="single"/>
        </w:rPr>
        <w:t xml:space="preserve">.1.3 </w:t>
      </w:r>
      <w:r w:rsidR="003A54BE" w:rsidRPr="003E7D4D">
        <w:rPr>
          <w:b/>
          <w:bCs/>
          <w:sz w:val="24"/>
          <w:szCs w:val="24"/>
          <w:u w:val="single"/>
        </w:rPr>
        <w:t>Simple Linear Correlation Analyses</w:t>
      </w:r>
    </w:p>
    <w:p w14:paraId="3560650D" w14:textId="7C825398" w:rsidR="003A54BE" w:rsidRPr="008E34CA" w:rsidRDefault="003A54BE" w:rsidP="008E34CA">
      <w:r w:rsidRPr="001A71F4">
        <w:t xml:space="preserve">For each protein, Pearson and Spearman correlation coefficients with </w:t>
      </w:r>
      <w:proofErr w:type="spellStart"/>
      <w:r w:rsidRPr="001A71F4">
        <w:t>erastin</w:t>
      </w:r>
      <w:proofErr w:type="spellEnd"/>
      <w:r w:rsidRPr="001A71F4">
        <w:t xml:space="preserve"> resistance were calculated within each condition. Results were visualized with scatterplots and linear regression lines to illustrate trends.</w:t>
      </w:r>
    </w:p>
    <w:p w14:paraId="5A2884E4" w14:textId="3D9FF275" w:rsidR="008E34CA" w:rsidRPr="003E7D4D" w:rsidRDefault="00F02028" w:rsidP="008E34CA">
      <w:pPr>
        <w:rPr>
          <w:b/>
          <w:bCs/>
          <w:sz w:val="24"/>
          <w:szCs w:val="24"/>
          <w:u w:val="single"/>
        </w:rPr>
      </w:pPr>
      <w:r w:rsidRPr="003E7D4D">
        <w:rPr>
          <w:b/>
          <w:bCs/>
          <w:sz w:val="24"/>
          <w:szCs w:val="24"/>
          <w:u w:val="single"/>
        </w:rPr>
        <w:t>4</w:t>
      </w:r>
      <w:r w:rsidR="009A06DF" w:rsidRPr="003E7D4D">
        <w:rPr>
          <w:b/>
          <w:bCs/>
          <w:sz w:val="24"/>
          <w:szCs w:val="24"/>
          <w:u w:val="single"/>
        </w:rPr>
        <w:t xml:space="preserve">.1.4 </w:t>
      </w:r>
      <w:r w:rsidR="008E34CA" w:rsidRPr="003E7D4D">
        <w:rPr>
          <w:b/>
          <w:bCs/>
          <w:sz w:val="24"/>
          <w:szCs w:val="24"/>
          <w:u w:val="single"/>
        </w:rPr>
        <w:t>Multiple Linear Regression (MLR)</w:t>
      </w:r>
    </w:p>
    <w:p w14:paraId="5F7F1656" w14:textId="77777777" w:rsidR="008E34CA" w:rsidRPr="008E34CA" w:rsidRDefault="008E34CA" w:rsidP="008E34CA">
      <w:r w:rsidRPr="008E34CA">
        <w:t xml:space="preserve">Multiple linear regression models were used to assess the association between protein expression levels and </w:t>
      </w:r>
      <w:proofErr w:type="spellStart"/>
      <w:r w:rsidRPr="008E34CA">
        <w:t>Erastin</w:t>
      </w:r>
      <w:proofErr w:type="spellEnd"/>
      <w:r w:rsidRPr="008E34CA">
        <w:t xml:space="preserve"> resistance. The general model is:</w:t>
      </w:r>
    </w:p>
    <w:p w14:paraId="2988D695" w14:textId="77777777" w:rsidR="008E34CA" w:rsidRPr="008E34CA" w:rsidRDefault="008E34CA" w:rsidP="008E34CA">
      <w:r w:rsidRPr="008E34CA">
        <w:t>Equation 1:</w:t>
      </w:r>
      <w:r w:rsidRPr="008E34CA">
        <w:br/>
        <w:t>Yᵢ = β₀ + β₁Xᵢ₁ + β₂Xᵢ₂ + ... + β_</w:t>
      </w:r>
      <w:proofErr w:type="spellStart"/>
      <w:r w:rsidRPr="008E34CA">
        <w:t>pX</w:t>
      </w:r>
      <w:proofErr w:type="spellEnd"/>
      <w:r w:rsidRPr="008E34CA">
        <w:t>ᵢ</w:t>
      </w:r>
      <w:r w:rsidRPr="008E34CA">
        <w:rPr>
          <w:rFonts w:ascii="Cambria Math" w:hAnsi="Cambria Math" w:cs="Cambria Math"/>
        </w:rPr>
        <w:t>ₚ</w:t>
      </w:r>
      <w:r w:rsidRPr="008E34CA">
        <w:t xml:space="preserve"> + εᵢ, for </w:t>
      </w:r>
      <w:proofErr w:type="spellStart"/>
      <w:r w:rsidRPr="008E34CA">
        <w:t>i</w:t>
      </w:r>
      <w:proofErr w:type="spellEnd"/>
      <w:r w:rsidRPr="008E34CA">
        <w:t xml:space="preserve"> = 1, ..., n</w:t>
      </w:r>
    </w:p>
    <w:p w14:paraId="019CD6D8" w14:textId="77777777" w:rsidR="008E34CA" w:rsidRPr="008E34CA" w:rsidRDefault="008E34CA" w:rsidP="008E34CA">
      <w:r w:rsidRPr="008E34CA">
        <w:t>where:</w:t>
      </w:r>
    </w:p>
    <w:p w14:paraId="78EABF3B" w14:textId="77777777" w:rsidR="008E34CA" w:rsidRPr="008E34CA" w:rsidRDefault="008E34CA" w:rsidP="008E34CA">
      <w:pPr>
        <w:numPr>
          <w:ilvl w:val="0"/>
          <w:numId w:val="8"/>
        </w:numPr>
      </w:pPr>
      <w:r w:rsidRPr="008E34CA">
        <w:t xml:space="preserve">Yᵢ = log2 fold change in </w:t>
      </w:r>
      <w:proofErr w:type="spellStart"/>
      <w:r w:rsidRPr="008E34CA">
        <w:t>Erastin</w:t>
      </w:r>
      <w:proofErr w:type="spellEnd"/>
      <w:r w:rsidRPr="008E34CA">
        <w:t xml:space="preserve"> resistance for sample </w:t>
      </w:r>
      <w:proofErr w:type="spellStart"/>
      <w:r w:rsidRPr="008E34CA">
        <w:t>i</w:t>
      </w:r>
      <w:proofErr w:type="spellEnd"/>
    </w:p>
    <w:p w14:paraId="60B7456D" w14:textId="77777777" w:rsidR="008E34CA" w:rsidRPr="008E34CA" w:rsidRDefault="008E34CA" w:rsidP="008E34CA">
      <w:pPr>
        <w:numPr>
          <w:ilvl w:val="0"/>
          <w:numId w:val="8"/>
        </w:numPr>
      </w:pPr>
      <w:r w:rsidRPr="008E34CA">
        <w:t xml:space="preserve">Xᵢⱼ = expression level of protein j in sample </w:t>
      </w:r>
      <w:proofErr w:type="spellStart"/>
      <w:r w:rsidRPr="008E34CA">
        <w:t>i</w:t>
      </w:r>
      <w:proofErr w:type="spellEnd"/>
    </w:p>
    <w:p w14:paraId="71EF49E0" w14:textId="77777777" w:rsidR="008E34CA" w:rsidRPr="008E34CA" w:rsidRDefault="008E34CA" w:rsidP="008E34CA">
      <w:pPr>
        <w:numPr>
          <w:ilvl w:val="0"/>
          <w:numId w:val="8"/>
        </w:numPr>
      </w:pPr>
      <w:r w:rsidRPr="008E34CA">
        <w:t>β₀ = intercept</w:t>
      </w:r>
    </w:p>
    <w:p w14:paraId="03F20A11" w14:textId="77777777" w:rsidR="008E34CA" w:rsidRPr="008E34CA" w:rsidRDefault="008E34CA" w:rsidP="008E34CA">
      <w:pPr>
        <w:numPr>
          <w:ilvl w:val="0"/>
          <w:numId w:val="8"/>
        </w:numPr>
      </w:pPr>
      <w:r w:rsidRPr="008E34CA">
        <w:t>βⱼ = regression coefficient for predictor j</w:t>
      </w:r>
    </w:p>
    <w:p w14:paraId="7778F308" w14:textId="77777777" w:rsidR="008E34CA" w:rsidRPr="008E34CA" w:rsidRDefault="008E34CA" w:rsidP="008E34CA">
      <w:pPr>
        <w:numPr>
          <w:ilvl w:val="0"/>
          <w:numId w:val="8"/>
        </w:numPr>
      </w:pPr>
      <w:r w:rsidRPr="008E34CA">
        <w:t>εᵢ = error term (assumed normal)</w:t>
      </w:r>
    </w:p>
    <w:p w14:paraId="76107755" w14:textId="5CF48B49" w:rsidR="008E34CA" w:rsidRPr="008E34CA" w:rsidRDefault="008E34CA" w:rsidP="008E34CA">
      <w:r w:rsidRPr="008E34CA">
        <w:t>Models were run separately for biologically relevant subsets based on GPX4 and AIFM2 expression, categorized into "high," "low," "negligible"</w:t>
      </w:r>
      <w:r w:rsidR="002A6043">
        <w:t>, “both low” and “all"</w:t>
      </w:r>
      <w:r w:rsidRPr="008E34CA">
        <w:t xml:space="preserve"> groups.</w:t>
      </w:r>
    </w:p>
    <w:p w14:paraId="70BEFAC7" w14:textId="77777777" w:rsidR="008E34CA" w:rsidRPr="008E34CA" w:rsidRDefault="008E34CA" w:rsidP="008E34CA">
      <w:r w:rsidRPr="008E34CA">
        <w:t>Model Diagnostics</w:t>
      </w:r>
    </w:p>
    <w:p w14:paraId="69A78AB8" w14:textId="77777777" w:rsidR="008E34CA" w:rsidRPr="008E34CA" w:rsidRDefault="008E34CA" w:rsidP="008E34CA">
      <w:pPr>
        <w:numPr>
          <w:ilvl w:val="0"/>
          <w:numId w:val="9"/>
        </w:numPr>
      </w:pPr>
      <w:r w:rsidRPr="008E34CA">
        <w:t>Variance Inflation Factor (VIF) was calculated for each predictor to assess multicollinearity; values above 5 indicate potential issues.</w:t>
      </w:r>
    </w:p>
    <w:p w14:paraId="7C970F0F" w14:textId="77777777" w:rsidR="002C78F7" w:rsidRDefault="008E34CA" w:rsidP="002C78F7">
      <w:pPr>
        <w:numPr>
          <w:ilvl w:val="0"/>
          <w:numId w:val="9"/>
        </w:numPr>
      </w:pPr>
      <w:r w:rsidRPr="008E34CA">
        <w:t>Model fit was evaluated using R-squared and adjusted R-squared.</w:t>
      </w:r>
    </w:p>
    <w:p w14:paraId="7D7816DE" w14:textId="77777777" w:rsidR="006346CD" w:rsidRDefault="00807E5D" w:rsidP="00D740F6">
      <w:pPr>
        <w:numPr>
          <w:ilvl w:val="0"/>
          <w:numId w:val="9"/>
        </w:numPr>
      </w:pPr>
      <w:r w:rsidRPr="00807E5D">
        <w:t xml:space="preserve">To account for multiple hypothesis testing, all </w:t>
      </w:r>
      <w:r w:rsidRPr="00807E5D">
        <w:rPr>
          <w:i/>
          <w:iCs/>
        </w:rPr>
        <w:t>p</w:t>
      </w:r>
      <w:r w:rsidRPr="00807E5D">
        <w:t>-values from regression coefficients were adjusted using the Benjamini–Hochberg (BH) false discovery rate (FDR) correction.</w:t>
      </w:r>
    </w:p>
    <w:p w14:paraId="364E1EC2" w14:textId="77777777" w:rsidR="006346CD" w:rsidRDefault="00D740F6" w:rsidP="006346CD">
      <w:pPr>
        <w:ind w:left="720"/>
      </w:pPr>
      <w:r w:rsidRPr="008E34CA">
        <w:t xml:space="preserve">Equation </w:t>
      </w:r>
      <w:r>
        <w:t>2</w:t>
      </w:r>
      <w:r w:rsidRPr="008E34CA">
        <w:t>:</w:t>
      </w:r>
      <w:r w:rsidRPr="008E34CA">
        <w:br/>
        <w:t>pᵢ(</w:t>
      </w:r>
      <w:proofErr w:type="spellStart"/>
      <w:r w:rsidRPr="008E34CA">
        <w:t>adj</w:t>
      </w:r>
      <w:proofErr w:type="spellEnd"/>
      <w:r w:rsidRPr="008E34CA">
        <w:t xml:space="preserve">) = min{(pᵢ × m) / </w:t>
      </w:r>
      <w:proofErr w:type="spellStart"/>
      <w:r w:rsidRPr="008E34CA">
        <w:t>i</w:t>
      </w:r>
      <w:proofErr w:type="spellEnd"/>
      <w:r w:rsidRPr="008E34CA">
        <w:t>, 1 }</w:t>
      </w:r>
    </w:p>
    <w:p w14:paraId="78585E86" w14:textId="6BA1B949" w:rsidR="00D740F6" w:rsidRPr="008E34CA" w:rsidRDefault="00D740F6" w:rsidP="006346CD">
      <w:pPr>
        <w:ind w:left="720"/>
      </w:pPr>
      <w:r w:rsidRPr="008E34CA">
        <w:t>pᵢ = original p-value</w:t>
      </w:r>
    </w:p>
    <w:p w14:paraId="712F2B4B" w14:textId="77777777" w:rsidR="00D740F6" w:rsidRPr="008E34CA" w:rsidRDefault="00D740F6" w:rsidP="006346CD">
      <w:pPr>
        <w:ind w:left="720"/>
      </w:pPr>
      <w:r w:rsidRPr="008E34CA">
        <w:t>m = total number of tests</w:t>
      </w:r>
    </w:p>
    <w:p w14:paraId="16DADA1A" w14:textId="2F771EC1" w:rsidR="00D740F6" w:rsidRDefault="00D740F6" w:rsidP="006346CD">
      <w:pPr>
        <w:ind w:left="720"/>
      </w:pPr>
      <w:proofErr w:type="spellStart"/>
      <w:r w:rsidRPr="008E34CA">
        <w:t>i</w:t>
      </w:r>
      <w:proofErr w:type="spellEnd"/>
      <w:r w:rsidRPr="008E34CA">
        <w:t xml:space="preserve"> = rank of p-value in ascending order</w:t>
      </w:r>
    </w:p>
    <w:p w14:paraId="43CCE6E0" w14:textId="77777777" w:rsidR="00D740F6" w:rsidRDefault="00D740F6" w:rsidP="00D740F6">
      <w:pPr>
        <w:ind w:left="720"/>
      </w:pPr>
    </w:p>
    <w:p w14:paraId="1A75E6B2" w14:textId="77777777" w:rsidR="00EC23BD" w:rsidRDefault="00EC23BD" w:rsidP="002C78F7">
      <w:pPr>
        <w:rPr>
          <w:b/>
          <w:bCs/>
          <w:u w:val="single"/>
        </w:rPr>
      </w:pPr>
    </w:p>
    <w:p w14:paraId="160C0D13" w14:textId="596889A8" w:rsidR="008E34CA" w:rsidRPr="003E7D4D" w:rsidRDefault="00F02028" w:rsidP="002C78F7">
      <w:pPr>
        <w:rPr>
          <w:b/>
          <w:bCs/>
          <w:sz w:val="24"/>
          <w:szCs w:val="24"/>
        </w:rPr>
      </w:pPr>
      <w:r w:rsidRPr="003E7D4D">
        <w:rPr>
          <w:b/>
          <w:bCs/>
          <w:sz w:val="24"/>
          <w:szCs w:val="24"/>
          <w:u w:val="single"/>
        </w:rPr>
        <w:t>4</w:t>
      </w:r>
      <w:r w:rsidR="009A06DF" w:rsidRPr="003E7D4D">
        <w:rPr>
          <w:b/>
          <w:bCs/>
          <w:sz w:val="24"/>
          <w:szCs w:val="24"/>
          <w:u w:val="single"/>
        </w:rPr>
        <w:t xml:space="preserve">.1.5 </w:t>
      </w:r>
      <w:r w:rsidR="008E34CA" w:rsidRPr="003E7D4D">
        <w:rPr>
          <w:b/>
          <w:bCs/>
          <w:sz w:val="24"/>
          <w:szCs w:val="24"/>
          <w:u w:val="single"/>
        </w:rPr>
        <w:t>Relative Importance of Predictors</w:t>
      </w:r>
    </w:p>
    <w:p w14:paraId="675E4E38" w14:textId="77777777" w:rsidR="008E34CA" w:rsidRPr="008E34CA" w:rsidRDefault="008E34CA" w:rsidP="008E34CA">
      <w:r w:rsidRPr="008E34CA">
        <w:t>The relative contribution of each predictor to the explained variance (R²) was assessed using the "</w:t>
      </w:r>
      <w:proofErr w:type="spellStart"/>
      <w:r w:rsidRPr="008E34CA">
        <w:t>lmg</w:t>
      </w:r>
      <w:proofErr w:type="spellEnd"/>
      <w:r w:rsidRPr="008E34CA">
        <w:t xml:space="preserve">" method from the </w:t>
      </w:r>
      <w:proofErr w:type="spellStart"/>
      <w:r w:rsidRPr="008E34CA">
        <w:rPr>
          <w:i/>
          <w:iCs/>
        </w:rPr>
        <w:t>relaimpo</w:t>
      </w:r>
      <w:proofErr w:type="spellEnd"/>
      <w:r w:rsidRPr="008E34CA">
        <w:t xml:space="preserve"> package:</w:t>
      </w:r>
    </w:p>
    <w:p w14:paraId="092A1207" w14:textId="26537886" w:rsidR="009A06DF" w:rsidRDefault="008E34CA" w:rsidP="008E34CA">
      <w:r w:rsidRPr="008E34CA">
        <w:t xml:space="preserve">Equation </w:t>
      </w:r>
      <w:r w:rsidR="00D740F6">
        <w:t>3</w:t>
      </w:r>
      <w:r w:rsidRPr="008E34CA">
        <w:t>:</w:t>
      </w:r>
      <w:r w:rsidRPr="008E34CA">
        <w:br/>
      </w:r>
      <w:proofErr w:type="spellStart"/>
      <w:r w:rsidR="00946BFD" w:rsidRPr="00946BFD">
        <w:t>Rδ</w:t>
      </w:r>
      <w:proofErr w:type="spellEnd"/>
      <w:r w:rsidR="00946BFD" w:rsidRPr="00946BFD">
        <w:t>​(j)=</w:t>
      </w:r>
      <w:proofErr w:type="spellStart"/>
      <w:r w:rsidR="00946BFD" w:rsidRPr="00946BFD">
        <w:t>RIj</w:t>
      </w:r>
      <w:proofErr w:type="spellEnd"/>
      <w:r w:rsidR="00946BFD" w:rsidRPr="00946BFD">
        <w:t xml:space="preserve">​× </w:t>
      </w:r>
      <w:r w:rsidR="00946BFD" w:rsidRPr="00B20909">
        <w:t>R²</w:t>
      </w:r>
    </w:p>
    <w:p w14:paraId="1E02EA77" w14:textId="5F2F250F" w:rsidR="00946BFD" w:rsidRDefault="00946BFD" w:rsidP="008E34CA">
      <w:proofErr w:type="spellStart"/>
      <w:r w:rsidRPr="00946BFD">
        <w:t>Rδ</w:t>
      </w:r>
      <w:proofErr w:type="spellEnd"/>
      <w:r w:rsidRPr="00946BFD">
        <w:t xml:space="preserve">​(j)= </w:t>
      </w:r>
      <w:r w:rsidRPr="00B20909">
        <w:t>ΔR</w:t>
      </w:r>
      <w:r>
        <w:t xml:space="preserve">= </w:t>
      </w:r>
      <w:r w:rsidRPr="00946BFD">
        <w:t xml:space="preserve">contribution of predictor </w:t>
      </w:r>
      <w:r>
        <w:t xml:space="preserve">j </w:t>
      </w:r>
      <w:r w:rsidRPr="00946BFD">
        <w:t>to the total explained variance</w:t>
      </w:r>
    </w:p>
    <w:p w14:paraId="6762D0AC" w14:textId="64E7C8C7" w:rsidR="00946BFD" w:rsidRDefault="00946BFD" w:rsidP="00FA6D58">
      <w:proofErr w:type="spellStart"/>
      <w:r w:rsidRPr="00946BFD">
        <w:t>RIj</w:t>
      </w:r>
      <w:proofErr w:type="spellEnd"/>
      <w:r w:rsidRPr="00946BFD">
        <w:t>​</w:t>
      </w:r>
      <w:r>
        <w:t>=</w:t>
      </w:r>
      <w:r w:rsidRPr="00946BFD">
        <w:t xml:space="preserve"> Average increase in </w:t>
      </w:r>
      <w:r w:rsidRPr="00B20909">
        <w:t>R²</w:t>
      </w:r>
      <w:r w:rsidRPr="00946BFD">
        <w:t> when adding predictor j to all possible predictor subsets</w:t>
      </w:r>
    </w:p>
    <w:p w14:paraId="1E3DC493" w14:textId="051A9215" w:rsidR="00FA6D58" w:rsidRDefault="00FA6D58" w:rsidP="00FA6D58">
      <w:r w:rsidRPr="008E34CA">
        <w:t>R²</w:t>
      </w:r>
      <w:r w:rsidRPr="00FA6D58">
        <w:t xml:space="preserve"> </w:t>
      </w:r>
      <w:r>
        <w:t>=</w:t>
      </w:r>
      <w:r w:rsidRPr="00FA6D58">
        <w:t>the total variance explained by the full model.</w:t>
      </w:r>
    </w:p>
    <w:p w14:paraId="259C94EC" w14:textId="77777777" w:rsidR="000903EB" w:rsidRDefault="000903EB" w:rsidP="00552A4A">
      <w:pPr>
        <w:rPr>
          <w:b/>
          <w:bCs/>
        </w:rPr>
      </w:pPr>
    </w:p>
    <w:p w14:paraId="4ABA9681" w14:textId="0E3BC260" w:rsidR="00E758C4" w:rsidRPr="00040902" w:rsidRDefault="00F02028" w:rsidP="00552A4A">
      <w:pPr>
        <w:rPr>
          <w:b/>
          <w:bCs/>
          <w:sz w:val="28"/>
          <w:szCs w:val="28"/>
          <w:u w:val="single"/>
        </w:rPr>
      </w:pPr>
      <w:r>
        <w:rPr>
          <w:b/>
          <w:bCs/>
          <w:sz w:val="28"/>
          <w:szCs w:val="28"/>
          <w:u w:val="single"/>
        </w:rPr>
        <w:t>5</w:t>
      </w:r>
      <w:r w:rsidR="009A06DF">
        <w:rPr>
          <w:b/>
          <w:bCs/>
          <w:sz w:val="28"/>
          <w:szCs w:val="28"/>
          <w:u w:val="single"/>
        </w:rPr>
        <w:t xml:space="preserve">. </w:t>
      </w:r>
      <w:r w:rsidR="007D7384" w:rsidRPr="00040902">
        <w:rPr>
          <w:b/>
          <w:bCs/>
          <w:sz w:val="28"/>
          <w:szCs w:val="28"/>
          <w:u w:val="single"/>
        </w:rPr>
        <w:t>Figures and Tables</w:t>
      </w:r>
    </w:p>
    <w:p w14:paraId="53E98DE2" w14:textId="3CFB7E49" w:rsidR="00E51C49" w:rsidRPr="00E51C49" w:rsidRDefault="00E51C49" w:rsidP="00E51C49">
      <w:pPr>
        <w:rPr>
          <w:b/>
          <w:bCs/>
          <w:sz w:val="18"/>
          <w:szCs w:val="18"/>
        </w:rPr>
      </w:pPr>
      <w:r w:rsidRPr="00E51C49">
        <w:rPr>
          <w:b/>
          <w:bCs/>
          <w:sz w:val="18"/>
          <w:szCs w:val="18"/>
        </w:rPr>
        <w:t xml:space="preserve">Table 1. </w:t>
      </w:r>
      <w:r w:rsidRPr="00E51C49">
        <w:rPr>
          <w:sz w:val="18"/>
          <w:szCs w:val="18"/>
        </w:rPr>
        <w:t xml:space="preserve">Results of Correlation and Linear Regression Analyses Between </w:t>
      </w:r>
      <w:proofErr w:type="spellStart"/>
      <w:r w:rsidRPr="00E51C49">
        <w:rPr>
          <w:sz w:val="18"/>
          <w:szCs w:val="18"/>
        </w:rPr>
        <w:t>Erastin</w:t>
      </w:r>
      <w:proofErr w:type="spellEnd"/>
      <w:r w:rsidRPr="00E51C49">
        <w:rPr>
          <w:sz w:val="18"/>
          <w:szCs w:val="18"/>
        </w:rPr>
        <w:t xml:space="preserve"> Resistance and Protein Expression of SLC7A11, TST, MPST, GPX4, and AIFM2</w:t>
      </w:r>
      <w:r w:rsidRPr="00E51C49">
        <w:rPr>
          <w:sz w:val="18"/>
          <w:szCs w:val="18"/>
        </w:rPr>
        <w:br/>
      </w:r>
      <w:r w:rsidRPr="00E51C49">
        <w:rPr>
          <w:i/>
          <w:iCs/>
          <w:sz w:val="18"/>
          <w:szCs w:val="18"/>
        </w:rPr>
        <w:t xml:space="preserve">Only statistically significant results (p &lt; 0.05) </w:t>
      </w:r>
      <w:r w:rsidR="00DC0184">
        <w:rPr>
          <w:i/>
          <w:iCs/>
          <w:sz w:val="18"/>
          <w:szCs w:val="18"/>
        </w:rPr>
        <w:t>and</w:t>
      </w:r>
      <w:r w:rsidRPr="00E51C49">
        <w:rPr>
          <w:i/>
          <w:iCs/>
          <w:sz w:val="18"/>
          <w:szCs w:val="18"/>
        </w:rPr>
        <w:t xml:space="preserve"> strong trends (0.05 &lt; p &lt; 0.1) are shown.</w:t>
      </w:r>
    </w:p>
    <w:p w14:paraId="5E0EAAC3" w14:textId="4E0B46AD" w:rsidR="00B76178" w:rsidRPr="009C52EB" w:rsidRDefault="002C4179" w:rsidP="00552A4A">
      <w:r w:rsidRPr="002C4179">
        <w:rPr>
          <w:noProof/>
        </w:rPr>
        <w:drawing>
          <wp:inline distT="0" distB="0" distL="0" distR="0" wp14:anchorId="6441E3D2" wp14:editId="461C7D9A">
            <wp:extent cx="5326380" cy="3848100"/>
            <wp:effectExtent l="0" t="0" r="0" b="0"/>
            <wp:docPr id="1553031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3848100"/>
                    </a:xfrm>
                    <a:prstGeom prst="rect">
                      <a:avLst/>
                    </a:prstGeom>
                    <a:noFill/>
                    <a:ln>
                      <a:noFill/>
                    </a:ln>
                  </pic:spPr>
                </pic:pic>
              </a:graphicData>
            </a:graphic>
          </wp:inline>
        </w:drawing>
      </w:r>
    </w:p>
    <w:p w14:paraId="02F1C43D" w14:textId="77777777" w:rsidR="003A54BE" w:rsidRDefault="003A54BE" w:rsidP="00E758C4"/>
    <w:p w14:paraId="0BE06292" w14:textId="77777777" w:rsidR="00FD5CCA" w:rsidRDefault="00FD5CCA" w:rsidP="00E758C4"/>
    <w:p w14:paraId="30FBBD77" w14:textId="77777777" w:rsidR="00FD5CCA" w:rsidRDefault="00FD5CCA" w:rsidP="00E758C4"/>
    <w:p w14:paraId="5365BE7B" w14:textId="77777777" w:rsidR="00FD5CCA" w:rsidRDefault="00FD5CCA" w:rsidP="00E758C4"/>
    <w:p w14:paraId="56D912C5" w14:textId="77777777" w:rsidR="004C7F11" w:rsidRDefault="004C7F11" w:rsidP="00E758C4"/>
    <w:p w14:paraId="40AE56D2" w14:textId="77777777" w:rsidR="00EC23BD" w:rsidRDefault="00EC23BD" w:rsidP="00E758C4"/>
    <w:p w14:paraId="7978DA8C" w14:textId="75CD0F83" w:rsidR="00E758C4" w:rsidRPr="00821A1C" w:rsidRDefault="00E758C4" w:rsidP="00E758C4">
      <w:pPr>
        <w:rPr>
          <w:sz w:val="18"/>
          <w:szCs w:val="18"/>
        </w:rPr>
      </w:pPr>
      <w:r w:rsidRPr="00821A1C">
        <w:rPr>
          <w:sz w:val="18"/>
          <w:szCs w:val="18"/>
        </w:rPr>
        <w:t xml:space="preserve">A                                                                                             </w:t>
      </w:r>
    </w:p>
    <w:p w14:paraId="6C636F81" w14:textId="1A9BD661" w:rsidR="003D7CE0" w:rsidRDefault="00FD5CCA" w:rsidP="003D7CE0">
      <w:r w:rsidRPr="00FD5CCA">
        <w:rPr>
          <w:noProof/>
        </w:rPr>
        <w:drawing>
          <wp:inline distT="0" distB="0" distL="0" distR="0" wp14:anchorId="11574E82" wp14:editId="57DB2535">
            <wp:extent cx="1703070" cy="1135380"/>
            <wp:effectExtent l="0" t="0" r="0" b="0"/>
            <wp:docPr id="1032764201" name="Picture 13"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64201" name="Picture 13" descr="A graph with a line going up&#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0720" cy="1153813"/>
                    </a:xfrm>
                    <a:prstGeom prst="rect">
                      <a:avLst/>
                    </a:prstGeom>
                    <a:noFill/>
                    <a:ln>
                      <a:noFill/>
                    </a:ln>
                  </pic:spPr>
                </pic:pic>
              </a:graphicData>
            </a:graphic>
          </wp:inline>
        </w:drawing>
      </w:r>
      <w:r w:rsidR="003D7CE0" w:rsidRPr="003D7CE0">
        <w:rPr>
          <w:noProof/>
        </w:rPr>
        <w:drawing>
          <wp:inline distT="0" distB="0" distL="0" distR="0" wp14:anchorId="5639C48E" wp14:editId="78C9269C">
            <wp:extent cx="1638300" cy="1092200"/>
            <wp:effectExtent l="0" t="0" r="0" b="0"/>
            <wp:docPr id="215630582" name="Picture 7"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30582" name="Picture 7" descr="A graph with a line going up&#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6666" cy="1104444"/>
                    </a:xfrm>
                    <a:prstGeom prst="rect">
                      <a:avLst/>
                    </a:prstGeom>
                    <a:noFill/>
                    <a:ln>
                      <a:noFill/>
                    </a:ln>
                  </pic:spPr>
                </pic:pic>
              </a:graphicData>
            </a:graphic>
          </wp:inline>
        </w:drawing>
      </w:r>
      <w:r w:rsidR="003D7CE0">
        <w:t xml:space="preserve">   </w:t>
      </w:r>
      <w:r w:rsidR="003D7CE0" w:rsidRPr="003D7CE0">
        <w:rPr>
          <w:noProof/>
        </w:rPr>
        <w:drawing>
          <wp:inline distT="0" distB="0" distL="0" distR="0" wp14:anchorId="0D7FB173" wp14:editId="303B94D3">
            <wp:extent cx="1630680" cy="1087120"/>
            <wp:effectExtent l="0" t="0" r="0" b="0"/>
            <wp:docPr id="1977432132" name="Picture 5"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32132" name="Picture 5" descr="A graph with a blue lin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972" cy="1092648"/>
                    </a:xfrm>
                    <a:prstGeom prst="rect">
                      <a:avLst/>
                    </a:prstGeom>
                    <a:noFill/>
                    <a:ln>
                      <a:noFill/>
                    </a:ln>
                  </pic:spPr>
                </pic:pic>
              </a:graphicData>
            </a:graphic>
          </wp:inline>
        </w:drawing>
      </w:r>
      <w:r w:rsidR="003D7CE0">
        <w:t xml:space="preserve">              </w:t>
      </w:r>
    </w:p>
    <w:p w14:paraId="0DE74B84" w14:textId="77777777" w:rsidR="00FD5CCA" w:rsidRPr="00821A1C" w:rsidRDefault="003D7CE0" w:rsidP="00FD5CCA">
      <w:pPr>
        <w:rPr>
          <w:sz w:val="18"/>
          <w:szCs w:val="18"/>
        </w:rPr>
      </w:pPr>
      <w:r w:rsidRPr="00821A1C">
        <w:rPr>
          <w:sz w:val="18"/>
          <w:szCs w:val="18"/>
        </w:rPr>
        <w:t xml:space="preserve">B   </w:t>
      </w:r>
    </w:p>
    <w:p w14:paraId="6E036350" w14:textId="0BC6F284" w:rsidR="00FD5CCA" w:rsidRDefault="003D7CE0" w:rsidP="00FD5CCA">
      <w:r w:rsidRPr="003D7CE0">
        <w:t xml:space="preserve">    </w:t>
      </w:r>
      <w:r w:rsidR="00FD5CCA" w:rsidRPr="00FD5CCA">
        <w:rPr>
          <w:noProof/>
        </w:rPr>
        <w:drawing>
          <wp:inline distT="0" distB="0" distL="0" distR="0" wp14:anchorId="083DADE9" wp14:editId="05A54458">
            <wp:extent cx="1569720" cy="1046478"/>
            <wp:effectExtent l="0" t="0" r="0" b="0"/>
            <wp:docPr id="1114682537" name="Picture 15"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82537" name="Picture 15" descr="A graph with a line going up&#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9091" cy="1066059"/>
                    </a:xfrm>
                    <a:prstGeom prst="rect">
                      <a:avLst/>
                    </a:prstGeom>
                    <a:noFill/>
                    <a:ln>
                      <a:noFill/>
                    </a:ln>
                  </pic:spPr>
                </pic:pic>
              </a:graphicData>
            </a:graphic>
          </wp:inline>
        </w:drawing>
      </w:r>
      <w:r w:rsidR="00FD5CCA" w:rsidRPr="00FD5CCA">
        <w:rPr>
          <w:noProof/>
        </w:rPr>
        <w:drawing>
          <wp:inline distT="0" distB="0" distL="0" distR="0" wp14:anchorId="2BD67CFF" wp14:editId="5C6E1194">
            <wp:extent cx="1653540" cy="1102360"/>
            <wp:effectExtent l="0" t="0" r="0" b="0"/>
            <wp:docPr id="1805794962" name="Picture 9"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94962" name="Picture 9" descr="A graph with a blue lin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9712" cy="1113141"/>
                    </a:xfrm>
                    <a:prstGeom prst="rect">
                      <a:avLst/>
                    </a:prstGeom>
                    <a:noFill/>
                    <a:ln>
                      <a:noFill/>
                    </a:ln>
                  </pic:spPr>
                </pic:pic>
              </a:graphicData>
            </a:graphic>
          </wp:inline>
        </w:drawing>
      </w:r>
      <w:r w:rsidR="00FD5CCA" w:rsidRPr="00FD5CCA">
        <w:rPr>
          <w:noProof/>
        </w:rPr>
        <w:drawing>
          <wp:inline distT="0" distB="0" distL="0" distR="0" wp14:anchorId="00D45D13" wp14:editId="1488BAAC">
            <wp:extent cx="1668780" cy="1112520"/>
            <wp:effectExtent l="0" t="0" r="0" b="0"/>
            <wp:docPr id="652582943" name="Picture 1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82943" name="Picture 11" descr="A graph with a line going up&#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5367" cy="1123578"/>
                    </a:xfrm>
                    <a:prstGeom prst="rect">
                      <a:avLst/>
                    </a:prstGeom>
                    <a:noFill/>
                    <a:ln>
                      <a:noFill/>
                    </a:ln>
                  </pic:spPr>
                </pic:pic>
              </a:graphicData>
            </a:graphic>
          </wp:inline>
        </w:drawing>
      </w:r>
    </w:p>
    <w:p w14:paraId="3C461D6E" w14:textId="2B5AB76E" w:rsidR="00FD5CCA" w:rsidRPr="00821A1C" w:rsidRDefault="00FD5CCA" w:rsidP="00FD5CCA">
      <w:pPr>
        <w:rPr>
          <w:sz w:val="18"/>
          <w:szCs w:val="18"/>
        </w:rPr>
      </w:pPr>
      <w:r w:rsidRPr="00821A1C">
        <w:rPr>
          <w:sz w:val="18"/>
          <w:szCs w:val="18"/>
        </w:rPr>
        <w:t>C</w:t>
      </w:r>
    </w:p>
    <w:p w14:paraId="133EA10B" w14:textId="77777777" w:rsidR="00821A1C" w:rsidRDefault="00FD5CCA" w:rsidP="00821A1C">
      <w:pPr>
        <w:rPr>
          <w:rFonts w:ascii="Times New Roman" w:eastAsia="Times New Roman" w:hAnsi="Times New Roman" w:cs="Times New Roman"/>
          <w:kern w:val="0"/>
          <w:sz w:val="24"/>
          <w:szCs w:val="24"/>
          <w:lang w:eastAsia="en-GB"/>
          <w14:ligatures w14:val="none"/>
        </w:rPr>
      </w:pPr>
      <w:r w:rsidRPr="00FD5CCA">
        <w:rPr>
          <w:noProof/>
        </w:rPr>
        <w:drawing>
          <wp:inline distT="0" distB="0" distL="0" distR="0" wp14:anchorId="39BCC5A4" wp14:editId="511E5AA8">
            <wp:extent cx="1645920" cy="1097280"/>
            <wp:effectExtent l="0" t="0" r="0" b="0"/>
            <wp:docPr id="1161145786" name="Picture 17"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45786" name="Picture 17" descr="A graph with a line going up&#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0935" cy="1100623"/>
                    </a:xfrm>
                    <a:prstGeom prst="rect">
                      <a:avLst/>
                    </a:prstGeom>
                    <a:noFill/>
                    <a:ln>
                      <a:noFill/>
                    </a:ln>
                  </pic:spPr>
                </pic:pic>
              </a:graphicData>
            </a:graphic>
          </wp:inline>
        </w:drawing>
      </w:r>
      <w:r w:rsidR="00821A1C" w:rsidRPr="00821A1C">
        <w:rPr>
          <w:rFonts w:ascii="Times New Roman" w:eastAsia="Times New Roman" w:hAnsi="Times New Roman" w:cs="Times New Roman"/>
          <w:kern w:val="0"/>
          <w:sz w:val="24"/>
          <w:szCs w:val="24"/>
          <w:lang w:eastAsia="en-GB"/>
          <w14:ligatures w14:val="none"/>
        </w:rPr>
        <w:t xml:space="preserve"> </w:t>
      </w:r>
      <w:r w:rsidR="00821A1C" w:rsidRPr="00821A1C">
        <w:rPr>
          <w:noProof/>
        </w:rPr>
        <w:drawing>
          <wp:inline distT="0" distB="0" distL="0" distR="0" wp14:anchorId="15ABAC09" wp14:editId="1A6FE12E">
            <wp:extent cx="1638300" cy="1092200"/>
            <wp:effectExtent l="0" t="0" r="0" b="0"/>
            <wp:docPr id="10058298" name="Picture 19"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298" name="Picture 19" descr="A graph with a line going up&#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8300" cy="1092200"/>
                    </a:xfrm>
                    <a:prstGeom prst="rect">
                      <a:avLst/>
                    </a:prstGeom>
                    <a:noFill/>
                    <a:ln>
                      <a:noFill/>
                    </a:ln>
                  </pic:spPr>
                </pic:pic>
              </a:graphicData>
            </a:graphic>
          </wp:inline>
        </w:drawing>
      </w:r>
    </w:p>
    <w:p w14:paraId="64B4ED2C" w14:textId="77777777" w:rsidR="00821A1C" w:rsidRPr="00821A1C" w:rsidRDefault="00821A1C" w:rsidP="00821A1C">
      <w:pPr>
        <w:rPr>
          <w:sz w:val="18"/>
          <w:szCs w:val="18"/>
        </w:rPr>
      </w:pPr>
      <w:r w:rsidRPr="00821A1C">
        <w:rPr>
          <w:rFonts w:ascii="Times New Roman" w:eastAsia="Times New Roman" w:hAnsi="Times New Roman" w:cs="Times New Roman"/>
          <w:kern w:val="0"/>
          <w:sz w:val="18"/>
          <w:szCs w:val="18"/>
          <w:lang w:eastAsia="en-GB"/>
          <w14:ligatures w14:val="none"/>
        </w:rPr>
        <w:t>D</w:t>
      </w:r>
    </w:p>
    <w:p w14:paraId="65ED7795" w14:textId="77777777" w:rsidR="00C366B6" w:rsidRDefault="00821A1C" w:rsidP="00821A1C">
      <w:r>
        <w:rPr>
          <w:noProof/>
        </w:rPr>
        <w:drawing>
          <wp:inline distT="0" distB="0" distL="0" distR="0" wp14:anchorId="6E51E166" wp14:editId="10369E9F">
            <wp:extent cx="1718310" cy="1145540"/>
            <wp:effectExtent l="0" t="0" r="0" b="0"/>
            <wp:docPr id="969437866" name="Picture 2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37866" name="Picture 21" descr="A graph with a line going up&#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4836" cy="1156557"/>
                    </a:xfrm>
                    <a:prstGeom prst="rect">
                      <a:avLst/>
                    </a:prstGeom>
                    <a:noFill/>
                    <a:ln>
                      <a:noFill/>
                    </a:ln>
                  </pic:spPr>
                </pic:pic>
              </a:graphicData>
            </a:graphic>
          </wp:inline>
        </w:drawing>
      </w:r>
      <w:r w:rsidRPr="00821A1C">
        <w:t xml:space="preserve"> </w:t>
      </w:r>
      <w:r>
        <w:rPr>
          <w:noProof/>
        </w:rPr>
        <w:drawing>
          <wp:inline distT="0" distB="0" distL="0" distR="0" wp14:anchorId="4E249A70" wp14:editId="033B2CE9">
            <wp:extent cx="1729740" cy="1153160"/>
            <wp:effectExtent l="0" t="0" r="0" b="0"/>
            <wp:docPr id="1210432322" name="Picture 22"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32322" name="Picture 22" descr="A graph with a line going up&#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1239" cy="1154159"/>
                    </a:xfrm>
                    <a:prstGeom prst="rect">
                      <a:avLst/>
                    </a:prstGeom>
                    <a:noFill/>
                    <a:ln>
                      <a:noFill/>
                    </a:ln>
                  </pic:spPr>
                </pic:pic>
              </a:graphicData>
            </a:graphic>
          </wp:inline>
        </w:drawing>
      </w:r>
      <w:r w:rsidRPr="00821A1C">
        <w:t xml:space="preserve"> </w:t>
      </w:r>
      <w:r>
        <w:rPr>
          <w:noProof/>
        </w:rPr>
        <w:drawing>
          <wp:inline distT="0" distB="0" distL="0" distR="0" wp14:anchorId="44F10E1B" wp14:editId="6DAC3A08">
            <wp:extent cx="1722120" cy="1148079"/>
            <wp:effectExtent l="0" t="0" r="0" b="0"/>
            <wp:docPr id="666889061" name="Picture 23"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89061" name="Picture 23" descr="A graph with a blue line&#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0582" cy="1160387"/>
                    </a:xfrm>
                    <a:prstGeom prst="rect">
                      <a:avLst/>
                    </a:prstGeom>
                    <a:noFill/>
                    <a:ln>
                      <a:noFill/>
                    </a:ln>
                  </pic:spPr>
                </pic:pic>
              </a:graphicData>
            </a:graphic>
          </wp:inline>
        </w:drawing>
      </w:r>
      <w:r>
        <w:rPr>
          <w:noProof/>
        </w:rPr>
        <w:drawing>
          <wp:inline distT="0" distB="0" distL="0" distR="0" wp14:anchorId="6065ABA4" wp14:editId="0574D216">
            <wp:extent cx="1633855" cy="1089236"/>
            <wp:effectExtent l="0" t="0" r="0" b="0"/>
            <wp:docPr id="1607377707" name="Picture 20"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77707" name="Picture 20" descr="A graph with a blue line&#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53368" cy="1102245"/>
                    </a:xfrm>
                    <a:prstGeom prst="rect">
                      <a:avLst/>
                    </a:prstGeom>
                    <a:noFill/>
                    <a:ln>
                      <a:noFill/>
                    </a:ln>
                  </pic:spPr>
                </pic:pic>
              </a:graphicData>
            </a:graphic>
          </wp:inline>
        </w:drawing>
      </w:r>
    </w:p>
    <w:p w14:paraId="1AD809F2" w14:textId="67E56200" w:rsidR="00821A1C" w:rsidRPr="00C366B6" w:rsidRDefault="00821A1C" w:rsidP="00821A1C">
      <w:r w:rsidRPr="00821A1C">
        <w:rPr>
          <w:sz w:val="18"/>
          <w:szCs w:val="18"/>
        </w:rPr>
        <w:t>E</w:t>
      </w:r>
    </w:p>
    <w:p w14:paraId="6EEDC616" w14:textId="77777777" w:rsidR="004C7F11" w:rsidRDefault="00821A1C" w:rsidP="004331C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pPr>
      <w:r>
        <w:rPr>
          <w:noProof/>
        </w:rPr>
        <w:drawing>
          <wp:inline distT="0" distB="0" distL="0" distR="0" wp14:anchorId="34D262E3" wp14:editId="0C67CECA">
            <wp:extent cx="1737360" cy="1158240"/>
            <wp:effectExtent l="0" t="0" r="0" b="0"/>
            <wp:docPr id="1047694792" name="Picture 24"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94792" name="Picture 24" descr="A graph with a line going up&#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7360" cy="1158240"/>
                    </a:xfrm>
                    <a:prstGeom prst="rect">
                      <a:avLst/>
                    </a:prstGeom>
                    <a:noFill/>
                    <a:ln>
                      <a:noFill/>
                    </a:ln>
                  </pic:spPr>
                </pic:pic>
              </a:graphicData>
            </a:graphic>
          </wp:inline>
        </w:drawing>
      </w:r>
      <w:r w:rsidR="00E80244">
        <w:rPr>
          <w:noProof/>
          <w:sz w:val="18"/>
          <w:szCs w:val="18"/>
        </w:rPr>
        <w:drawing>
          <wp:inline distT="0" distB="0" distL="0" distR="0" wp14:anchorId="09EEA963" wp14:editId="4A4EA96B">
            <wp:extent cx="1725930" cy="1150620"/>
            <wp:effectExtent l="0" t="0" r="0" b="0"/>
            <wp:docPr id="1466897108" name="Picture 25"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97108" name="Picture 25" descr="A graph with a blue line&#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25930" cy="1150620"/>
                    </a:xfrm>
                    <a:prstGeom prst="rect">
                      <a:avLst/>
                    </a:prstGeom>
                    <a:noFill/>
                    <a:ln>
                      <a:noFill/>
                    </a:ln>
                  </pic:spPr>
                </pic:pic>
              </a:graphicData>
            </a:graphic>
          </wp:inline>
        </w:drawing>
      </w:r>
      <w:r w:rsidR="00E80244" w:rsidRPr="00E80244">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00E80244" w:rsidRPr="00E80244">
        <w:rPr>
          <w:noProof/>
        </w:rPr>
        <w:drawing>
          <wp:inline distT="0" distB="0" distL="0" distR="0" wp14:anchorId="1100F7D2" wp14:editId="489D017B">
            <wp:extent cx="1714500" cy="1143000"/>
            <wp:effectExtent l="0" t="0" r="0" b="0"/>
            <wp:docPr id="1602499578" name="Picture 26"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99578" name="Picture 26" descr="A graph with a line going up&#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14:paraId="617DD56A" w14:textId="23A79437" w:rsidR="00E20B0C" w:rsidRPr="004C7F11" w:rsidRDefault="00C366B6" w:rsidP="004331C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pPr>
      <w:r w:rsidRPr="00C366B6">
        <w:rPr>
          <w:b/>
          <w:bCs/>
          <w:sz w:val="16"/>
          <w:szCs w:val="16"/>
        </w:rPr>
        <w:lastRenderedPageBreak/>
        <w:t>Figure 1.</w:t>
      </w:r>
      <w:r w:rsidRPr="00C366B6">
        <w:rPr>
          <w:sz w:val="16"/>
          <w:szCs w:val="16"/>
        </w:rPr>
        <w:t xml:space="preserve"> </w:t>
      </w:r>
      <w:r w:rsidR="004C7F11">
        <w:rPr>
          <w:sz w:val="16"/>
          <w:szCs w:val="16"/>
        </w:rPr>
        <w:t>Corelation and SLR analyses</w:t>
      </w:r>
      <w:r w:rsidRPr="00C366B6">
        <w:rPr>
          <w:sz w:val="16"/>
          <w:szCs w:val="16"/>
        </w:rPr>
        <w:t xml:space="preserve"> scatterplots showing the relationships between </w:t>
      </w:r>
      <w:proofErr w:type="spellStart"/>
      <w:r w:rsidRPr="00C366B6">
        <w:rPr>
          <w:sz w:val="16"/>
          <w:szCs w:val="16"/>
        </w:rPr>
        <w:t>Erastin</w:t>
      </w:r>
      <w:proofErr w:type="spellEnd"/>
      <w:r w:rsidRPr="00C366B6">
        <w:rPr>
          <w:sz w:val="16"/>
          <w:szCs w:val="16"/>
        </w:rPr>
        <w:t xml:space="preserve"> resistance (log₂ fold change) and protein expression levels of (A) GPX4, (B) AIFM2, (C) SLC7A11, (D) TST, and (E) MPST. These plots correspond to the statistical analyses summarized in Table 1.</w:t>
      </w:r>
    </w:p>
    <w:p w14:paraId="0B20B34D" w14:textId="6C35A813" w:rsidR="00E20B0C" w:rsidRPr="00E20B0C" w:rsidRDefault="00E20B0C" w:rsidP="004331C1">
      <w:pPr>
        <w:rPr>
          <w:sz w:val="16"/>
          <w:szCs w:val="16"/>
        </w:rPr>
      </w:pPr>
      <w:r>
        <w:t>A</w:t>
      </w:r>
    </w:p>
    <w:p w14:paraId="7CA673C7" w14:textId="78B9CDDD" w:rsidR="004331C1" w:rsidRDefault="004331C1" w:rsidP="004331C1">
      <w:r w:rsidRPr="004331C1">
        <w:rPr>
          <w:noProof/>
        </w:rPr>
        <w:drawing>
          <wp:inline distT="0" distB="0" distL="0" distR="0" wp14:anchorId="6A91F665" wp14:editId="0E08C5ED">
            <wp:extent cx="4673600" cy="2336800"/>
            <wp:effectExtent l="0" t="0" r="0" b="0"/>
            <wp:docPr id="970173494" name="Picture 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73494" name="Picture 8" descr="A screenshot of a computer screen&#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73600" cy="2336800"/>
                    </a:xfrm>
                    <a:prstGeom prst="rect">
                      <a:avLst/>
                    </a:prstGeom>
                    <a:noFill/>
                    <a:ln>
                      <a:noFill/>
                    </a:ln>
                  </pic:spPr>
                </pic:pic>
              </a:graphicData>
            </a:graphic>
          </wp:inline>
        </w:drawing>
      </w:r>
    </w:p>
    <w:p w14:paraId="388A61FF" w14:textId="2FDE3E1E" w:rsidR="00E20B0C" w:rsidRPr="004331C1" w:rsidRDefault="00E20B0C" w:rsidP="004331C1">
      <w:r>
        <w:t>B</w:t>
      </w:r>
    </w:p>
    <w:p w14:paraId="3A9572AD" w14:textId="2D8C3860" w:rsidR="00C366B6" w:rsidRDefault="004331C1" w:rsidP="00E758C4">
      <w:r w:rsidRPr="004331C1">
        <w:rPr>
          <w:noProof/>
          <w:sz w:val="18"/>
          <w:szCs w:val="18"/>
        </w:rPr>
        <w:drawing>
          <wp:inline distT="0" distB="0" distL="0" distR="0" wp14:anchorId="1A92293C" wp14:editId="636C3EAE">
            <wp:extent cx="4236720" cy="2541938"/>
            <wp:effectExtent l="0" t="0" r="0" b="0"/>
            <wp:docPr id="2058420171" name="Picture 12" descr="A graph of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20171" name="Picture 12" descr="A graph of colored lines&#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73747" cy="2564153"/>
                    </a:xfrm>
                    <a:prstGeom prst="rect">
                      <a:avLst/>
                    </a:prstGeom>
                    <a:noFill/>
                    <a:ln>
                      <a:noFill/>
                    </a:ln>
                  </pic:spPr>
                </pic:pic>
              </a:graphicData>
            </a:graphic>
          </wp:inline>
        </w:drawing>
      </w:r>
    </w:p>
    <w:p w14:paraId="7367BFEA" w14:textId="77777777" w:rsidR="00E20B0C" w:rsidRDefault="00E758C4" w:rsidP="00E758C4">
      <w:r w:rsidRPr="004331C1">
        <w:t>C</w:t>
      </w:r>
    </w:p>
    <w:p w14:paraId="38EAFBD4" w14:textId="6E9325F9" w:rsidR="00E758C4" w:rsidRDefault="004331C1" w:rsidP="00E758C4">
      <w:r w:rsidRPr="004331C1">
        <w:rPr>
          <w:noProof/>
        </w:rPr>
        <w:drawing>
          <wp:inline distT="0" distB="0" distL="0" distR="0" wp14:anchorId="18E42A17" wp14:editId="051DCDC9">
            <wp:extent cx="4327154" cy="2400300"/>
            <wp:effectExtent l="0" t="0" r="0" b="0"/>
            <wp:docPr id="1855020004" name="Picture 10"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20004" name="Picture 10" descr="A graph of different colored bars&#10;&#10;AI-generated content may be incorrec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70085" cy="2424114"/>
                    </a:xfrm>
                    <a:prstGeom prst="rect">
                      <a:avLst/>
                    </a:prstGeom>
                    <a:noFill/>
                    <a:ln>
                      <a:noFill/>
                    </a:ln>
                  </pic:spPr>
                </pic:pic>
              </a:graphicData>
            </a:graphic>
          </wp:inline>
        </w:drawing>
      </w:r>
    </w:p>
    <w:p w14:paraId="00767746" w14:textId="3FF859BF" w:rsidR="00902B02" w:rsidRDefault="00E758C4" w:rsidP="000D78BA">
      <w:pPr>
        <w:rPr>
          <w:sz w:val="18"/>
          <w:szCs w:val="18"/>
        </w:rPr>
      </w:pPr>
      <w:r w:rsidRPr="001D4DCF">
        <w:rPr>
          <w:b/>
          <w:bCs/>
          <w:sz w:val="18"/>
          <w:szCs w:val="18"/>
        </w:rPr>
        <w:lastRenderedPageBreak/>
        <w:t>Figure 2.</w:t>
      </w:r>
      <w:r w:rsidRPr="00E753C1">
        <w:rPr>
          <w:sz w:val="16"/>
          <w:szCs w:val="16"/>
        </w:rPr>
        <w:t xml:space="preserve"> </w:t>
      </w:r>
      <w:r w:rsidRPr="001D4DCF">
        <w:rPr>
          <w:sz w:val="18"/>
          <w:szCs w:val="18"/>
        </w:rPr>
        <w:t xml:space="preserve">Statistical analysis of two multiple linear regression (MLR) models to highlight relationships between </w:t>
      </w:r>
      <w:proofErr w:type="spellStart"/>
      <w:r w:rsidRPr="001D4DCF">
        <w:rPr>
          <w:sz w:val="18"/>
          <w:szCs w:val="18"/>
        </w:rPr>
        <w:t>Erastin</w:t>
      </w:r>
      <w:proofErr w:type="spellEnd"/>
      <w:r w:rsidRPr="001D4DCF">
        <w:rPr>
          <w:sz w:val="18"/>
          <w:szCs w:val="18"/>
        </w:rPr>
        <w:t xml:space="preserve"> resistance and protein expression levels of </w:t>
      </w:r>
      <w:r w:rsidR="00902B02" w:rsidRPr="001D4DCF">
        <w:rPr>
          <w:sz w:val="18"/>
          <w:szCs w:val="18"/>
        </w:rPr>
        <w:t xml:space="preserve">SLC7A11, </w:t>
      </w:r>
      <w:r w:rsidRPr="001D4DCF">
        <w:rPr>
          <w:sz w:val="18"/>
          <w:szCs w:val="18"/>
        </w:rPr>
        <w:t>TST, MPST, GPX4, and AIFM2</w:t>
      </w:r>
      <w:r w:rsidR="00EC23BD">
        <w:rPr>
          <w:sz w:val="18"/>
          <w:szCs w:val="18"/>
        </w:rPr>
        <w:t>(refer to Table 2-6 for numerical statistic values)</w:t>
      </w:r>
      <w:r w:rsidRPr="001D4DCF">
        <w:rPr>
          <w:sz w:val="18"/>
          <w:szCs w:val="18"/>
        </w:rPr>
        <w:t xml:space="preserve">. (A) Coefficient plot of MLR models showing the estimated effect sizes (β) of each gene on </w:t>
      </w:r>
      <w:proofErr w:type="spellStart"/>
      <w:r w:rsidRPr="001D4DCF">
        <w:rPr>
          <w:sz w:val="18"/>
          <w:szCs w:val="18"/>
        </w:rPr>
        <w:t>Erastin</w:t>
      </w:r>
      <w:proofErr w:type="spellEnd"/>
      <w:r w:rsidRPr="001D4DCF">
        <w:rPr>
          <w:sz w:val="18"/>
          <w:szCs w:val="18"/>
        </w:rPr>
        <w:t xml:space="preserve"> resistance across </w:t>
      </w:r>
      <w:r w:rsidR="00902B02" w:rsidRPr="001D4DCF">
        <w:rPr>
          <w:sz w:val="18"/>
          <w:szCs w:val="18"/>
        </w:rPr>
        <w:t>predictor set-</w:t>
      </w:r>
      <w:r w:rsidRPr="001D4DCF">
        <w:rPr>
          <w:sz w:val="18"/>
          <w:szCs w:val="18"/>
        </w:rPr>
        <w:t xml:space="preserve">condition-specific datasets. Each point represents the regression coefficient for a protein, with error bars indicating the 95% confidence intervals (CI). (B) R delta (ΔR) values representing the relative contribution of selected genes expression to the model’s explanatory power, calculated by comparing the full model to reduced models excluding the respective gene. (C) Adjusted R² values for each MLR model by condition, representing the proportion of variance in </w:t>
      </w:r>
      <w:proofErr w:type="spellStart"/>
      <w:r w:rsidRPr="001D4DCF">
        <w:rPr>
          <w:sz w:val="18"/>
          <w:szCs w:val="18"/>
        </w:rPr>
        <w:t>Erastin</w:t>
      </w:r>
      <w:proofErr w:type="spellEnd"/>
      <w:r w:rsidRPr="001D4DCF">
        <w:rPr>
          <w:sz w:val="18"/>
          <w:szCs w:val="18"/>
        </w:rPr>
        <w:t xml:space="preserve"> resistance explained by the model.</w:t>
      </w:r>
    </w:p>
    <w:p w14:paraId="69AFA192" w14:textId="1DFE8CB0" w:rsidR="00F36ABE" w:rsidRPr="004B05F4" w:rsidRDefault="000D5F6C" w:rsidP="000D78BA">
      <w:pPr>
        <w:rPr>
          <w:sz w:val="16"/>
          <w:szCs w:val="16"/>
        </w:rPr>
      </w:pPr>
      <w:r w:rsidRPr="001D4DCF">
        <w:rPr>
          <w:b/>
          <w:bCs/>
          <w:sz w:val="18"/>
          <w:szCs w:val="18"/>
        </w:rPr>
        <w:t>Table 2.</w:t>
      </w:r>
      <w:r w:rsidRPr="000D5F6C">
        <w:rPr>
          <w:sz w:val="16"/>
          <w:szCs w:val="16"/>
        </w:rPr>
        <w:t xml:space="preserve"> </w:t>
      </w:r>
      <w:r w:rsidRPr="001D4DCF">
        <w:rPr>
          <w:sz w:val="18"/>
          <w:szCs w:val="18"/>
        </w:rPr>
        <w:t xml:space="preserve">Multiple Linear Regression (MLR) analysis results for </w:t>
      </w:r>
      <w:proofErr w:type="spellStart"/>
      <w:r w:rsidRPr="001D4DCF">
        <w:rPr>
          <w:sz w:val="18"/>
          <w:szCs w:val="18"/>
        </w:rPr>
        <w:t>Erastin</w:t>
      </w:r>
      <w:proofErr w:type="spellEnd"/>
      <w:r w:rsidRPr="001D4DCF">
        <w:rPr>
          <w:sz w:val="18"/>
          <w:szCs w:val="18"/>
        </w:rPr>
        <w:t xml:space="preserve"> resistance models using SLC7A11, TST, MPST, GPX4, and AIFM2 as independent variable</w:t>
      </w:r>
      <w:r w:rsidR="00694DAC">
        <w:rPr>
          <w:sz w:val="18"/>
          <w:szCs w:val="18"/>
        </w:rPr>
        <w:t>s in Low GPX4 cell subsets</w:t>
      </w:r>
      <w:r w:rsidRPr="001D4DCF">
        <w:rPr>
          <w:sz w:val="18"/>
          <w:szCs w:val="18"/>
        </w:rPr>
        <w:t xml:space="preserve">. </w:t>
      </w:r>
      <w:r w:rsidR="00694DAC">
        <w:rPr>
          <w:sz w:val="18"/>
          <w:szCs w:val="18"/>
        </w:rPr>
        <w:t xml:space="preserve">Red and Green cells </w:t>
      </w:r>
      <w:r w:rsidR="00D752E9">
        <w:rPr>
          <w:sz w:val="18"/>
          <w:szCs w:val="18"/>
        </w:rPr>
        <w:t>highlight</w:t>
      </w:r>
      <w:r w:rsidRPr="001D4DCF">
        <w:rPr>
          <w:sz w:val="18"/>
          <w:szCs w:val="18"/>
        </w:rPr>
        <w:t xml:space="preserve"> unique combination of condition and predictor set </w:t>
      </w:r>
      <w:r w:rsidR="00694DAC">
        <w:rPr>
          <w:sz w:val="18"/>
          <w:szCs w:val="18"/>
        </w:rPr>
        <w:t xml:space="preserve">which </w:t>
      </w:r>
      <w:r w:rsidRPr="001D4DCF">
        <w:rPr>
          <w:sz w:val="18"/>
          <w:szCs w:val="18"/>
        </w:rPr>
        <w:t>represents an independent model.</w:t>
      </w:r>
      <w:r w:rsidRPr="00E753C1">
        <w:rPr>
          <w:sz w:val="16"/>
          <w:szCs w:val="16"/>
        </w:rPr>
        <w:t xml:space="preserve"> </w:t>
      </w:r>
      <w:r w:rsidR="004B05F4" w:rsidRPr="004B05F4">
        <w:rPr>
          <w:b/>
          <w:bCs/>
          <w:noProof/>
          <w:lang w:val="en-US"/>
        </w:rPr>
        <w:drawing>
          <wp:inline distT="0" distB="0" distL="0" distR="0" wp14:anchorId="46A8EF77" wp14:editId="03A45499">
            <wp:extent cx="6585585" cy="1270000"/>
            <wp:effectExtent l="0" t="0" r="0" b="0"/>
            <wp:docPr id="13168592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00874" cy="1272948"/>
                    </a:xfrm>
                    <a:prstGeom prst="rect">
                      <a:avLst/>
                    </a:prstGeom>
                    <a:noFill/>
                    <a:ln>
                      <a:noFill/>
                    </a:ln>
                  </pic:spPr>
                </pic:pic>
              </a:graphicData>
            </a:graphic>
          </wp:inline>
        </w:drawing>
      </w:r>
    </w:p>
    <w:p w14:paraId="2297CEEC" w14:textId="653FE0F4" w:rsidR="00AE305E" w:rsidRPr="004B05F4" w:rsidRDefault="00E20B0C" w:rsidP="000D78BA">
      <w:pPr>
        <w:rPr>
          <w:sz w:val="16"/>
          <w:szCs w:val="16"/>
        </w:rPr>
      </w:pPr>
      <w:r w:rsidRPr="001D4DCF">
        <w:rPr>
          <w:b/>
          <w:bCs/>
          <w:sz w:val="18"/>
          <w:szCs w:val="18"/>
        </w:rPr>
        <w:t xml:space="preserve">Table </w:t>
      </w:r>
      <w:r>
        <w:rPr>
          <w:b/>
          <w:bCs/>
          <w:sz w:val="18"/>
          <w:szCs w:val="18"/>
        </w:rPr>
        <w:t>3</w:t>
      </w:r>
      <w:r w:rsidRPr="001D4DCF">
        <w:rPr>
          <w:b/>
          <w:bCs/>
          <w:sz w:val="18"/>
          <w:szCs w:val="18"/>
        </w:rPr>
        <w:t>.</w:t>
      </w:r>
      <w:r w:rsidRPr="000D5F6C">
        <w:rPr>
          <w:sz w:val="16"/>
          <w:szCs w:val="16"/>
        </w:rPr>
        <w:t xml:space="preserve"> </w:t>
      </w:r>
      <w:r w:rsidR="00694DAC" w:rsidRPr="001D4DCF">
        <w:rPr>
          <w:sz w:val="18"/>
          <w:szCs w:val="18"/>
        </w:rPr>
        <w:t xml:space="preserve">Multiple Linear Regression (MLR) analysis results for </w:t>
      </w:r>
      <w:proofErr w:type="spellStart"/>
      <w:r w:rsidR="00694DAC" w:rsidRPr="001D4DCF">
        <w:rPr>
          <w:sz w:val="18"/>
          <w:szCs w:val="18"/>
        </w:rPr>
        <w:t>Erastin</w:t>
      </w:r>
      <w:proofErr w:type="spellEnd"/>
      <w:r w:rsidR="00694DAC" w:rsidRPr="001D4DCF">
        <w:rPr>
          <w:sz w:val="18"/>
          <w:szCs w:val="18"/>
        </w:rPr>
        <w:t xml:space="preserve"> resistance models using SLC7A11, MPST, GPX4, and AIFM2 as independent variable</w:t>
      </w:r>
      <w:r w:rsidR="00694DAC">
        <w:rPr>
          <w:sz w:val="18"/>
          <w:szCs w:val="18"/>
        </w:rPr>
        <w:t>s in High AIFM2 cell subsets</w:t>
      </w:r>
      <w:r w:rsidR="00694DAC" w:rsidRPr="001D4DCF">
        <w:rPr>
          <w:sz w:val="18"/>
          <w:szCs w:val="18"/>
        </w:rPr>
        <w:t xml:space="preserve">. </w:t>
      </w:r>
      <w:r w:rsidR="00694DAC">
        <w:rPr>
          <w:sz w:val="18"/>
          <w:szCs w:val="18"/>
        </w:rPr>
        <w:t xml:space="preserve">Red and Blue cells </w:t>
      </w:r>
      <w:r w:rsidR="00D752E9">
        <w:rPr>
          <w:sz w:val="18"/>
          <w:szCs w:val="18"/>
        </w:rPr>
        <w:t>highlight</w:t>
      </w:r>
      <w:r w:rsidR="00694DAC" w:rsidRPr="001D4DCF">
        <w:rPr>
          <w:sz w:val="18"/>
          <w:szCs w:val="18"/>
        </w:rPr>
        <w:t xml:space="preserve"> unique combination of condition and predictor set </w:t>
      </w:r>
      <w:r w:rsidR="00694DAC">
        <w:rPr>
          <w:sz w:val="18"/>
          <w:szCs w:val="18"/>
        </w:rPr>
        <w:t xml:space="preserve">which </w:t>
      </w:r>
      <w:r w:rsidR="00694DAC" w:rsidRPr="001D4DCF">
        <w:rPr>
          <w:sz w:val="18"/>
          <w:szCs w:val="18"/>
        </w:rPr>
        <w:t>represents an independent model.</w:t>
      </w:r>
      <w:r w:rsidR="00AE305E" w:rsidRPr="00AE305E">
        <w:rPr>
          <w:b/>
          <w:bCs/>
          <w:noProof/>
          <w:lang w:val="en-US"/>
        </w:rPr>
        <w:drawing>
          <wp:inline distT="0" distB="0" distL="0" distR="0" wp14:anchorId="3AE5B0D1" wp14:editId="334DFD8F">
            <wp:extent cx="6546850" cy="799410"/>
            <wp:effectExtent l="0" t="0" r="0" b="0"/>
            <wp:docPr id="136382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07169" cy="806775"/>
                    </a:xfrm>
                    <a:prstGeom prst="rect">
                      <a:avLst/>
                    </a:prstGeom>
                    <a:noFill/>
                    <a:ln>
                      <a:noFill/>
                    </a:ln>
                  </pic:spPr>
                </pic:pic>
              </a:graphicData>
            </a:graphic>
          </wp:inline>
        </w:drawing>
      </w:r>
    </w:p>
    <w:p w14:paraId="0D072C67" w14:textId="405DE632" w:rsidR="00AE305E" w:rsidRDefault="00E20B0C" w:rsidP="000D78BA">
      <w:pPr>
        <w:rPr>
          <w:b/>
          <w:bCs/>
          <w:lang w:val="en-US"/>
        </w:rPr>
      </w:pPr>
      <w:r w:rsidRPr="001D4DCF">
        <w:rPr>
          <w:b/>
          <w:bCs/>
          <w:sz w:val="18"/>
          <w:szCs w:val="18"/>
        </w:rPr>
        <w:t xml:space="preserve">Table </w:t>
      </w:r>
      <w:r>
        <w:rPr>
          <w:b/>
          <w:bCs/>
          <w:sz w:val="18"/>
          <w:szCs w:val="18"/>
        </w:rPr>
        <w:t>4</w:t>
      </w:r>
      <w:r w:rsidRPr="001D4DCF">
        <w:rPr>
          <w:b/>
          <w:bCs/>
          <w:sz w:val="18"/>
          <w:szCs w:val="18"/>
        </w:rPr>
        <w:t>.</w:t>
      </w:r>
      <w:r w:rsidR="00D752E9" w:rsidRPr="00D752E9">
        <w:rPr>
          <w:sz w:val="18"/>
          <w:szCs w:val="18"/>
        </w:rPr>
        <w:t xml:space="preserve"> </w:t>
      </w:r>
      <w:r w:rsidR="00D752E9" w:rsidRPr="001D4DCF">
        <w:rPr>
          <w:sz w:val="18"/>
          <w:szCs w:val="18"/>
        </w:rPr>
        <w:t xml:space="preserve">Multiple Linear Regression (MLR) analysis results for </w:t>
      </w:r>
      <w:proofErr w:type="spellStart"/>
      <w:r w:rsidR="00D752E9" w:rsidRPr="001D4DCF">
        <w:rPr>
          <w:sz w:val="18"/>
          <w:szCs w:val="18"/>
        </w:rPr>
        <w:t>Erastin</w:t>
      </w:r>
      <w:proofErr w:type="spellEnd"/>
      <w:r w:rsidR="00D752E9" w:rsidRPr="001D4DCF">
        <w:rPr>
          <w:sz w:val="18"/>
          <w:szCs w:val="18"/>
        </w:rPr>
        <w:t xml:space="preserve"> resistance models using SLC7A11, TST, MPST, GPX4, and AIFM2 as independent variable</w:t>
      </w:r>
      <w:r w:rsidR="00D752E9">
        <w:rPr>
          <w:sz w:val="18"/>
          <w:szCs w:val="18"/>
        </w:rPr>
        <w:t>s in Negligible AIFM2 cell subsets</w:t>
      </w:r>
      <w:r w:rsidR="00D752E9" w:rsidRPr="001D4DCF">
        <w:rPr>
          <w:sz w:val="18"/>
          <w:szCs w:val="18"/>
        </w:rPr>
        <w:t xml:space="preserve">. </w:t>
      </w:r>
      <w:r w:rsidR="00D752E9">
        <w:rPr>
          <w:sz w:val="18"/>
          <w:szCs w:val="18"/>
        </w:rPr>
        <w:t>Red and Blue cells highlight</w:t>
      </w:r>
      <w:r w:rsidR="00D752E9" w:rsidRPr="001D4DCF">
        <w:rPr>
          <w:sz w:val="18"/>
          <w:szCs w:val="18"/>
        </w:rPr>
        <w:t xml:space="preserve"> unique combination of condition and predictor set </w:t>
      </w:r>
      <w:r w:rsidR="00D752E9">
        <w:rPr>
          <w:sz w:val="18"/>
          <w:szCs w:val="18"/>
        </w:rPr>
        <w:t xml:space="preserve">which </w:t>
      </w:r>
      <w:r w:rsidR="00D752E9" w:rsidRPr="001D4DCF">
        <w:rPr>
          <w:sz w:val="18"/>
          <w:szCs w:val="18"/>
        </w:rPr>
        <w:t>represents an independent model.</w:t>
      </w:r>
      <w:r w:rsidRPr="00E20B0C">
        <w:rPr>
          <w:b/>
          <w:bCs/>
          <w:noProof/>
          <w:lang w:val="en-US"/>
        </w:rPr>
        <w:drawing>
          <wp:inline distT="0" distB="0" distL="0" distR="0" wp14:anchorId="3E80DAE9" wp14:editId="74CB52D0">
            <wp:extent cx="6569710" cy="863600"/>
            <wp:effectExtent l="0" t="0" r="0" b="0"/>
            <wp:docPr id="963481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95065" cy="866933"/>
                    </a:xfrm>
                    <a:prstGeom prst="rect">
                      <a:avLst/>
                    </a:prstGeom>
                    <a:noFill/>
                    <a:ln>
                      <a:noFill/>
                    </a:ln>
                  </pic:spPr>
                </pic:pic>
              </a:graphicData>
            </a:graphic>
          </wp:inline>
        </w:drawing>
      </w:r>
    </w:p>
    <w:p w14:paraId="3CC49B4A" w14:textId="6A53C533" w:rsidR="00AE305E" w:rsidRPr="00EC23BD" w:rsidRDefault="00E20B0C" w:rsidP="000D78BA">
      <w:pPr>
        <w:rPr>
          <w:sz w:val="16"/>
          <w:szCs w:val="16"/>
        </w:rPr>
      </w:pPr>
      <w:r w:rsidRPr="001D4DCF">
        <w:rPr>
          <w:b/>
          <w:bCs/>
          <w:sz w:val="18"/>
          <w:szCs w:val="18"/>
        </w:rPr>
        <w:t xml:space="preserve">Table </w:t>
      </w:r>
      <w:r w:rsidR="00694DAC">
        <w:rPr>
          <w:b/>
          <w:bCs/>
          <w:sz w:val="18"/>
          <w:szCs w:val="18"/>
        </w:rPr>
        <w:t>5</w:t>
      </w:r>
      <w:r w:rsidRPr="001D4DCF">
        <w:rPr>
          <w:b/>
          <w:bCs/>
          <w:sz w:val="18"/>
          <w:szCs w:val="18"/>
        </w:rPr>
        <w:t>.</w:t>
      </w:r>
      <w:r w:rsidRPr="000D5F6C">
        <w:rPr>
          <w:sz w:val="16"/>
          <w:szCs w:val="16"/>
        </w:rPr>
        <w:t xml:space="preserve"> </w:t>
      </w:r>
      <w:r w:rsidR="00D752E9" w:rsidRPr="001D4DCF">
        <w:rPr>
          <w:sz w:val="18"/>
          <w:szCs w:val="18"/>
        </w:rPr>
        <w:t xml:space="preserve">Multiple Linear Regression (MLR) analysis results for </w:t>
      </w:r>
      <w:proofErr w:type="spellStart"/>
      <w:r w:rsidR="00D752E9" w:rsidRPr="001D4DCF">
        <w:rPr>
          <w:sz w:val="18"/>
          <w:szCs w:val="18"/>
        </w:rPr>
        <w:t>Erastin</w:t>
      </w:r>
      <w:proofErr w:type="spellEnd"/>
      <w:r w:rsidR="00D752E9" w:rsidRPr="001D4DCF">
        <w:rPr>
          <w:sz w:val="18"/>
          <w:szCs w:val="18"/>
        </w:rPr>
        <w:t xml:space="preserve"> resistance models using SLC7A11, TST, GPX4, and AIFM2 as independent variable</w:t>
      </w:r>
      <w:r w:rsidR="00D752E9">
        <w:rPr>
          <w:sz w:val="18"/>
          <w:szCs w:val="18"/>
        </w:rPr>
        <w:t>s in Both Low cell subsets</w:t>
      </w:r>
      <w:r w:rsidR="00D752E9" w:rsidRPr="001D4DCF">
        <w:rPr>
          <w:sz w:val="18"/>
          <w:szCs w:val="18"/>
        </w:rPr>
        <w:t xml:space="preserve">. </w:t>
      </w:r>
      <w:r w:rsidR="00D752E9">
        <w:rPr>
          <w:sz w:val="18"/>
          <w:szCs w:val="18"/>
        </w:rPr>
        <w:t>Red cells highlight</w:t>
      </w:r>
      <w:r w:rsidR="00D752E9" w:rsidRPr="001D4DCF">
        <w:rPr>
          <w:sz w:val="18"/>
          <w:szCs w:val="18"/>
        </w:rPr>
        <w:t xml:space="preserve"> unique combination of condition and predictor set </w:t>
      </w:r>
      <w:r w:rsidR="00D752E9">
        <w:rPr>
          <w:sz w:val="18"/>
          <w:szCs w:val="18"/>
        </w:rPr>
        <w:t xml:space="preserve">which </w:t>
      </w:r>
      <w:r w:rsidR="00D752E9" w:rsidRPr="001D4DCF">
        <w:rPr>
          <w:sz w:val="18"/>
          <w:szCs w:val="18"/>
        </w:rPr>
        <w:t>represents an independent model.</w:t>
      </w:r>
      <w:r w:rsidR="004B05F4" w:rsidRPr="004B05F4">
        <w:rPr>
          <w:b/>
          <w:bCs/>
          <w:noProof/>
          <w:lang w:val="en-US"/>
        </w:rPr>
        <w:drawing>
          <wp:inline distT="0" distB="0" distL="0" distR="0" wp14:anchorId="27A2EDF3" wp14:editId="16E8F026">
            <wp:extent cx="6557010" cy="800100"/>
            <wp:effectExtent l="0" t="0" r="0" b="0"/>
            <wp:docPr id="9331060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61640" cy="800665"/>
                    </a:xfrm>
                    <a:prstGeom prst="rect">
                      <a:avLst/>
                    </a:prstGeom>
                    <a:noFill/>
                    <a:ln>
                      <a:noFill/>
                    </a:ln>
                  </pic:spPr>
                </pic:pic>
              </a:graphicData>
            </a:graphic>
          </wp:inline>
        </w:drawing>
      </w:r>
    </w:p>
    <w:p w14:paraId="5084E09F" w14:textId="77777777" w:rsidR="00EC23BD" w:rsidRDefault="00EC23BD" w:rsidP="00E20B0C">
      <w:pPr>
        <w:rPr>
          <w:b/>
          <w:bCs/>
          <w:sz w:val="18"/>
          <w:szCs w:val="18"/>
        </w:rPr>
      </w:pPr>
    </w:p>
    <w:p w14:paraId="5E92F3AE" w14:textId="77777777" w:rsidR="00EC23BD" w:rsidRDefault="00EC23BD" w:rsidP="00E20B0C">
      <w:pPr>
        <w:rPr>
          <w:b/>
          <w:bCs/>
          <w:sz w:val="18"/>
          <w:szCs w:val="18"/>
        </w:rPr>
      </w:pPr>
    </w:p>
    <w:p w14:paraId="4D05D2ED" w14:textId="77777777" w:rsidR="00EC23BD" w:rsidRDefault="00EC23BD" w:rsidP="00E20B0C">
      <w:pPr>
        <w:rPr>
          <w:b/>
          <w:bCs/>
          <w:sz w:val="18"/>
          <w:szCs w:val="18"/>
        </w:rPr>
      </w:pPr>
    </w:p>
    <w:p w14:paraId="1E126984" w14:textId="77777777" w:rsidR="00EC23BD" w:rsidRDefault="00EC23BD" w:rsidP="00E20B0C">
      <w:pPr>
        <w:rPr>
          <w:b/>
          <w:bCs/>
          <w:sz w:val="18"/>
          <w:szCs w:val="18"/>
        </w:rPr>
      </w:pPr>
    </w:p>
    <w:p w14:paraId="556FD340" w14:textId="77777777" w:rsidR="00EC23BD" w:rsidRDefault="00EC23BD" w:rsidP="00E20B0C">
      <w:pPr>
        <w:rPr>
          <w:b/>
          <w:bCs/>
          <w:sz w:val="18"/>
          <w:szCs w:val="18"/>
        </w:rPr>
      </w:pPr>
    </w:p>
    <w:p w14:paraId="57FE371D" w14:textId="77777777" w:rsidR="00EC23BD" w:rsidRDefault="00EC23BD" w:rsidP="00E20B0C">
      <w:pPr>
        <w:rPr>
          <w:b/>
          <w:bCs/>
          <w:sz w:val="18"/>
          <w:szCs w:val="18"/>
        </w:rPr>
      </w:pPr>
    </w:p>
    <w:p w14:paraId="6D2DA841" w14:textId="3E081AF0" w:rsidR="00E20B0C" w:rsidRPr="00E20B0C" w:rsidRDefault="00E20B0C" w:rsidP="00E20B0C">
      <w:pPr>
        <w:rPr>
          <w:sz w:val="16"/>
          <w:szCs w:val="16"/>
        </w:rPr>
      </w:pPr>
      <w:r w:rsidRPr="001D4DCF">
        <w:rPr>
          <w:b/>
          <w:bCs/>
          <w:sz w:val="18"/>
          <w:szCs w:val="18"/>
        </w:rPr>
        <w:lastRenderedPageBreak/>
        <w:t xml:space="preserve">Table </w:t>
      </w:r>
      <w:r w:rsidR="00694DAC">
        <w:rPr>
          <w:b/>
          <w:bCs/>
          <w:sz w:val="18"/>
          <w:szCs w:val="18"/>
        </w:rPr>
        <w:t>6</w:t>
      </w:r>
      <w:r w:rsidRPr="001D4DCF">
        <w:rPr>
          <w:b/>
          <w:bCs/>
          <w:sz w:val="18"/>
          <w:szCs w:val="18"/>
        </w:rPr>
        <w:t>.</w:t>
      </w:r>
      <w:r w:rsidRPr="000D5F6C">
        <w:rPr>
          <w:sz w:val="16"/>
          <w:szCs w:val="16"/>
        </w:rPr>
        <w:t xml:space="preserve"> </w:t>
      </w:r>
      <w:r w:rsidR="00D752E9" w:rsidRPr="001D4DCF">
        <w:rPr>
          <w:sz w:val="18"/>
          <w:szCs w:val="18"/>
        </w:rPr>
        <w:t xml:space="preserve">Multiple Linear Regression (MLR) analysis results for </w:t>
      </w:r>
      <w:proofErr w:type="spellStart"/>
      <w:r w:rsidR="00D752E9" w:rsidRPr="001D4DCF">
        <w:rPr>
          <w:sz w:val="18"/>
          <w:szCs w:val="18"/>
        </w:rPr>
        <w:t>Erastin</w:t>
      </w:r>
      <w:proofErr w:type="spellEnd"/>
      <w:r w:rsidR="00D752E9" w:rsidRPr="001D4DCF">
        <w:rPr>
          <w:sz w:val="18"/>
          <w:szCs w:val="18"/>
        </w:rPr>
        <w:t xml:space="preserve"> resistance models using SLC7A11, TST, MPST, GPX4, and AIFM2 as independent variable</w:t>
      </w:r>
      <w:r w:rsidR="00D752E9">
        <w:rPr>
          <w:sz w:val="18"/>
          <w:szCs w:val="18"/>
        </w:rPr>
        <w:t>s in All cell subsets</w:t>
      </w:r>
      <w:r w:rsidR="00D752E9" w:rsidRPr="001D4DCF">
        <w:rPr>
          <w:sz w:val="18"/>
          <w:szCs w:val="18"/>
        </w:rPr>
        <w:t xml:space="preserve">. </w:t>
      </w:r>
      <w:r w:rsidR="00D752E9">
        <w:rPr>
          <w:sz w:val="18"/>
          <w:szCs w:val="18"/>
        </w:rPr>
        <w:t>Red and Blue cells highlight</w:t>
      </w:r>
      <w:r w:rsidR="00D752E9" w:rsidRPr="001D4DCF">
        <w:rPr>
          <w:sz w:val="18"/>
          <w:szCs w:val="18"/>
        </w:rPr>
        <w:t xml:space="preserve"> unique combination of condition and predictor set </w:t>
      </w:r>
      <w:r w:rsidR="00D752E9">
        <w:rPr>
          <w:sz w:val="18"/>
          <w:szCs w:val="18"/>
        </w:rPr>
        <w:t xml:space="preserve">which </w:t>
      </w:r>
      <w:r w:rsidR="00D752E9" w:rsidRPr="001D4DCF">
        <w:rPr>
          <w:sz w:val="18"/>
          <w:szCs w:val="18"/>
        </w:rPr>
        <w:t>represents an independent model.</w:t>
      </w:r>
      <w:r w:rsidRPr="00E753C1">
        <w:rPr>
          <w:sz w:val="16"/>
          <w:szCs w:val="16"/>
        </w:rPr>
        <w:t xml:space="preserve"> </w:t>
      </w:r>
    </w:p>
    <w:p w14:paraId="4ECE030B" w14:textId="61CA714B" w:rsidR="00AE305E" w:rsidRDefault="00E20B0C" w:rsidP="000D78BA">
      <w:pPr>
        <w:rPr>
          <w:b/>
          <w:bCs/>
          <w:lang w:val="en-US"/>
        </w:rPr>
      </w:pPr>
      <w:r w:rsidRPr="00E20B0C">
        <w:rPr>
          <w:b/>
          <w:bCs/>
          <w:noProof/>
          <w:lang w:val="en-US"/>
        </w:rPr>
        <w:drawing>
          <wp:inline distT="0" distB="0" distL="0" distR="0" wp14:anchorId="544C3CAD" wp14:editId="6B73055B">
            <wp:extent cx="6539230" cy="1460500"/>
            <wp:effectExtent l="0" t="0" r="0" b="0"/>
            <wp:docPr id="1872854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57802" cy="1464648"/>
                    </a:xfrm>
                    <a:prstGeom prst="rect">
                      <a:avLst/>
                    </a:prstGeom>
                    <a:noFill/>
                    <a:ln>
                      <a:noFill/>
                    </a:ln>
                  </pic:spPr>
                </pic:pic>
              </a:graphicData>
            </a:graphic>
          </wp:inline>
        </w:drawing>
      </w:r>
    </w:p>
    <w:p w14:paraId="4EC8F8CE" w14:textId="77777777" w:rsidR="00AE305E" w:rsidRDefault="00AE305E" w:rsidP="000D78BA">
      <w:pPr>
        <w:rPr>
          <w:b/>
          <w:bCs/>
          <w:lang w:val="en-US"/>
        </w:rPr>
      </w:pPr>
    </w:p>
    <w:p w14:paraId="0B2A67E4" w14:textId="77777777" w:rsidR="005E39BA" w:rsidRDefault="005E39BA" w:rsidP="00A119FE">
      <w:pPr>
        <w:rPr>
          <w:noProof/>
        </w:rPr>
      </w:pPr>
    </w:p>
    <w:p w14:paraId="3098C0C2" w14:textId="7E43D409" w:rsidR="00E343E3" w:rsidRDefault="000D5F6C" w:rsidP="00A119FE">
      <w:r>
        <w:t>A</w:t>
      </w:r>
    </w:p>
    <w:p w14:paraId="1D9DC136" w14:textId="04D5EC6B" w:rsidR="00A563F3" w:rsidRDefault="00A563F3" w:rsidP="00A563F3">
      <w:r w:rsidRPr="00A563F3">
        <w:rPr>
          <w:noProof/>
        </w:rPr>
        <w:drawing>
          <wp:inline distT="0" distB="0" distL="0" distR="0" wp14:anchorId="02BCBCA5" wp14:editId="5CFF6459">
            <wp:extent cx="3151641" cy="1869440"/>
            <wp:effectExtent l="0" t="0" r="0" b="0"/>
            <wp:docPr id="1341459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09596" cy="1903817"/>
                    </a:xfrm>
                    <a:prstGeom prst="rect">
                      <a:avLst/>
                    </a:prstGeom>
                    <a:noFill/>
                    <a:ln>
                      <a:noFill/>
                    </a:ln>
                  </pic:spPr>
                </pic:pic>
              </a:graphicData>
            </a:graphic>
          </wp:inline>
        </w:drawing>
      </w:r>
    </w:p>
    <w:p w14:paraId="6F44871E" w14:textId="77777777" w:rsidR="00E343E3" w:rsidRDefault="00A563F3" w:rsidP="00A563F3">
      <w:r w:rsidRPr="00A563F3">
        <w:rPr>
          <w:noProof/>
        </w:rPr>
        <w:drawing>
          <wp:inline distT="0" distB="0" distL="0" distR="0" wp14:anchorId="382E911F" wp14:editId="6C0697D4">
            <wp:extent cx="3738880" cy="330571"/>
            <wp:effectExtent l="0" t="0" r="0" b="0"/>
            <wp:docPr id="1192542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2498" cy="333543"/>
                    </a:xfrm>
                    <a:prstGeom prst="rect">
                      <a:avLst/>
                    </a:prstGeom>
                    <a:noFill/>
                    <a:ln>
                      <a:noFill/>
                    </a:ln>
                  </pic:spPr>
                </pic:pic>
              </a:graphicData>
            </a:graphic>
          </wp:inline>
        </w:drawing>
      </w:r>
    </w:p>
    <w:p w14:paraId="23AB794F" w14:textId="4D16D4FC" w:rsidR="00E343E3" w:rsidRDefault="000D5F6C" w:rsidP="00A563F3">
      <w:r>
        <w:t>B</w:t>
      </w:r>
    </w:p>
    <w:p w14:paraId="659390DF" w14:textId="21E045AA" w:rsidR="00E343E3" w:rsidRDefault="00E343E3" w:rsidP="00A563F3">
      <w:r w:rsidRPr="00E343E3">
        <w:rPr>
          <w:noProof/>
        </w:rPr>
        <w:drawing>
          <wp:inline distT="0" distB="0" distL="0" distR="0" wp14:anchorId="6BE8764F" wp14:editId="36A46D3C">
            <wp:extent cx="3256280" cy="1950282"/>
            <wp:effectExtent l="0" t="0" r="0" b="0"/>
            <wp:docPr id="4258425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77161" cy="1962788"/>
                    </a:xfrm>
                    <a:prstGeom prst="rect">
                      <a:avLst/>
                    </a:prstGeom>
                    <a:noFill/>
                    <a:ln>
                      <a:noFill/>
                    </a:ln>
                  </pic:spPr>
                </pic:pic>
              </a:graphicData>
            </a:graphic>
          </wp:inline>
        </w:drawing>
      </w:r>
    </w:p>
    <w:p w14:paraId="2F055A72" w14:textId="37AC3C56" w:rsidR="00A563F3" w:rsidRPr="00A563F3" w:rsidRDefault="00E343E3" w:rsidP="00A563F3">
      <w:r w:rsidRPr="00E343E3">
        <w:rPr>
          <w:noProof/>
        </w:rPr>
        <w:drawing>
          <wp:inline distT="0" distB="0" distL="0" distR="0" wp14:anchorId="7EB18E26" wp14:editId="0AC43C0B">
            <wp:extent cx="3550920" cy="306479"/>
            <wp:effectExtent l="0" t="0" r="0" b="0"/>
            <wp:docPr id="9538540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74048" cy="317106"/>
                    </a:xfrm>
                    <a:prstGeom prst="rect">
                      <a:avLst/>
                    </a:prstGeom>
                    <a:noFill/>
                    <a:ln>
                      <a:noFill/>
                    </a:ln>
                  </pic:spPr>
                </pic:pic>
              </a:graphicData>
            </a:graphic>
          </wp:inline>
        </w:drawing>
      </w:r>
    </w:p>
    <w:p w14:paraId="38E1327F" w14:textId="77777777" w:rsidR="00EC23BD" w:rsidRDefault="00A563F3" w:rsidP="00DD520B">
      <w:pPr>
        <w:rPr>
          <w:sz w:val="18"/>
          <w:szCs w:val="18"/>
        </w:rPr>
      </w:pPr>
      <w:r w:rsidRPr="00E343E3">
        <w:rPr>
          <w:b/>
          <w:bCs/>
          <w:sz w:val="18"/>
          <w:szCs w:val="18"/>
        </w:rPr>
        <w:t>Figure 3</w:t>
      </w:r>
      <w:r w:rsidRPr="00E343E3">
        <w:rPr>
          <w:sz w:val="18"/>
          <w:szCs w:val="18"/>
        </w:rPr>
        <w:t xml:space="preserve">. </w:t>
      </w:r>
      <w:proofErr w:type="spellStart"/>
      <w:r w:rsidR="00DC4108">
        <w:rPr>
          <w:sz w:val="18"/>
          <w:szCs w:val="18"/>
        </w:rPr>
        <w:t>Corallation</w:t>
      </w:r>
      <w:proofErr w:type="spellEnd"/>
      <w:r w:rsidR="00DC4108">
        <w:rPr>
          <w:sz w:val="18"/>
          <w:szCs w:val="18"/>
        </w:rPr>
        <w:t xml:space="preserve"> &amp; </w:t>
      </w:r>
      <w:r w:rsidR="004C7F11">
        <w:rPr>
          <w:sz w:val="18"/>
          <w:szCs w:val="18"/>
        </w:rPr>
        <w:t>S</w:t>
      </w:r>
      <w:r w:rsidRPr="00E343E3">
        <w:rPr>
          <w:sz w:val="18"/>
          <w:szCs w:val="18"/>
        </w:rPr>
        <w:t>L</w:t>
      </w:r>
      <w:r w:rsidR="00DC4108">
        <w:rPr>
          <w:sz w:val="18"/>
          <w:szCs w:val="18"/>
        </w:rPr>
        <w:t xml:space="preserve">R </w:t>
      </w:r>
      <w:r w:rsidRPr="00E343E3">
        <w:rPr>
          <w:sz w:val="18"/>
          <w:szCs w:val="18"/>
        </w:rPr>
        <w:t xml:space="preserve">analyses generated using the </w:t>
      </w:r>
      <w:proofErr w:type="spellStart"/>
      <w:r w:rsidRPr="00E343E3">
        <w:rPr>
          <w:sz w:val="18"/>
          <w:szCs w:val="18"/>
        </w:rPr>
        <w:t>DepMap</w:t>
      </w:r>
      <w:proofErr w:type="spellEnd"/>
      <w:r w:rsidRPr="00E343E3">
        <w:rPr>
          <w:sz w:val="18"/>
          <w:szCs w:val="18"/>
        </w:rPr>
        <w:t xml:space="preserve"> Portal Plot Configuration tool.</w:t>
      </w:r>
      <w:r w:rsidRPr="00E343E3">
        <w:rPr>
          <w:sz w:val="18"/>
          <w:szCs w:val="18"/>
        </w:rPr>
        <w:br/>
      </w:r>
      <w:r w:rsidR="000D5F6C">
        <w:rPr>
          <w:sz w:val="18"/>
          <w:szCs w:val="18"/>
        </w:rPr>
        <w:t>A</w:t>
      </w:r>
      <w:r w:rsidRPr="00E343E3">
        <w:rPr>
          <w:sz w:val="18"/>
          <w:szCs w:val="18"/>
        </w:rPr>
        <w:t xml:space="preserve">. </w:t>
      </w:r>
      <w:r w:rsidR="00DC4108">
        <w:rPr>
          <w:sz w:val="18"/>
          <w:szCs w:val="18"/>
        </w:rPr>
        <w:t xml:space="preserve">The Scatterplot results of the corelation and </w:t>
      </w:r>
      <w:r w:rsidR="004C7F11">
        <w:rPr>
          <w:sz w:val="18"/>
          <w:szCs w:val="18"/>
        </w:rPr>
        <w:t>S</w:t>
      </w:r>
      <w:r w:rsidRPr="00E343E3">
        <w:rPr>
          <w:sz w:val="18"/>
          <w:szCs w:val="18"/>
        </w:rPr>
        <w:t>LR between TST expression and MPST expression across all cell lines in the CCLE proteomics dataset</w:t>
      </w:r>
      <w:r w:rsidR="00E343E3" w:rsidRPr="00E343E3">
        <w:rPr>
          <w:sz w:val="18"/>
          <w:szCs w:val="18"/>
        </w:rPr>
        <w:t xml:space="preserve">   </w:t>
      </w:r>
      <w:r w:rsidR="000D5F6C">
        <w:rPr>
          <w:sz w:val="18"/>
          <w:szCs w:val="18"/>
        </w:rPr>
        <w:t>B</w:t>
      </w:r>
      <w:r w:rsidR="00DC4108" w:rsidRPr="00E343E3">
        <w:rPr>
          <w:sz w:val="18"/>
          <w:szCs w:val="18"/>
        </w:rPr>
        <w:t xml:space="preserve">. </w:t>
      </w:r>
      <w:r w:rsidR="00DC4108">
        <w:rPr>
          <w:sz w:val="18"/>
          <w:szCs w:val="18"/>
        </w:rPr>
        <w:t xml:space="preserve">The Scatterplot results of the corelation and </w:t>
      </w:r>
      <w:r w:rsidR="00DC4108" w:rsidRPr="00E343E3">
        <w:rPr>
          <w:sz w:val="18"/>
          <w:szCs w:val="18"/>
        </w:rPr>
        <w:t xml:space="preserve">LR </w:t>
      </w:r>
      <w:r w:rsidR="00DC4108">
        <w:rPr>
          <w:sz w:val="18"/>
          <w:szCs w:val="18"/>
        </w:rPr>
        <w:t xml:space="preserve">between </w:t>
      </w:r>
      <w:r w:rsidR="00E343E3" w:rsidRPr="00E343E3">
        <w:rPr>
          <w:sz w:val="18"/>
          <w:szCs w:val="18"/>
        </w:rPr>
        <w:t xml:space="preserve">TST expression and MPST expression across cell lines both in the CCLE proteomics dataset and </w:t>
      </w:r>
      <w:proofErr w:type="spellStart"/>
      <w:r w:rsidR="00E343E3" w:rsidRPr="00E343E3">
        <w:rPr>
          <w:sz w:val="18"/>
          <w:szCs w:val="18"/>
        </w:rPr>
        <w:t>Erastin</w:t>
      </w:r>
      <w:proofErr w:type="spellEnd"/>
      <w:r w:rsidR="00E343E3" w:rsidRPr="00E343E3">
        <w:rPr>
          <w:sz w:val="18"/>
          <w:szCs w:val="18"/>
        </w:rPr>
        <w:t xml:space="preserve"> Drug Screen in the PRISM Repurposing Public 24Q2 dataset</w:t>
      </w:r>
    </w:p>
    <w:p w14:paraId="2767CA95" w14:textId="4B7093C1" w:rsidR="00DD520B" w:rsidRPr="003E7D4D" w:rsidRDefault="00F02028" w:rsidP="00DD520B">
      <w:pPr>
        <w:rPr>
          <w:sz w:val="18"/>
          <w:szCs w:val="18"/>
        </w:rPr>
      </w:pPr>
      <w:r>
        <w:rPr>
          <w:b/>
          <w:bCs/>
          <w:sz w:val="28"/>
          <w:szCs w:val="28"/>
        </w:rPr>
        <w:lastRenderedPageBreak/>
        <w:t>6</w:t>
      </w:r>
      <w:r w:rsidR="009A06DF" w:rsidRPr="009A06DF">
        <w:rPr>
          <w:b/>
          <w:bCs/>
          <w:sz w:val="28"/>
          <w:szCs w:val="28"/>
        </w:rPr>
        <w:t xml:space="preserve">.0 </w:t>
      </w:r>
      <w:r w:rsidR="00DD520B" w:rsidRPr="009A06DF">
        <w:rPr>
          <w:b/>
          <w:bCs/>
          <w:sz w:val="28"/>
          <w:szCs w:val="28"/>
        </w:rPr>
        <w:t>Interpretation</w:t>
      </w:r>
    </w:p>
    <w:p w14:paraId="290277CD" w14:textId="6D10A9B3" w:rsidR="007C28A1" w:rsidRPr="001B3519" w:rsidRDefault="00DD520B" w:rsidP="007C28A1">
      <w:r w:rsidRPr="00DD520B">
        <w:t xml:space="preserve">TST, MPST, SLC7A11, GPX4, and AIFM2 each show statistically significant, though varying, positive associations with </w:t>
      </w:r>
      <w:proofErr w:type="spellStart"/>
      <w:r w:rsidRPr="00DD520B">
        <w:t>Erastin</w:t>
      </w:r>
      <w:proofErr w:type="spellEnd"/>
      <w:r w:rsidRPr="00DD520B">
        <w:t xml:space="preserve"> resistance across cancer cell lines. These associations differ by molecular context, with some effects enhanced in specific subgroups defined by GPX4 and AIFM2 expression levels.</w:t>
      </w:r>
      <w:r w:rsidR="007C28A1">
        <w:t xml:space="preserve"> Importantly, w</w:t>
      </w:r>
      <w:r w:rsidR="007C28A1" w:rsidRPr="001B3519">
        <w:t xml:space="preserve">hile the stratified subgroup MLR models are not statistically independent—due to overlapping samples—they remain analytically distinct, as they aim to uncover context-specific effects. In this sense, the models test interaction-like </w:t>
      </w:r>
      <w:proofErr w:type="spellStart"/>
      <w:r w:rsidR="007C28A1" w:rsidRPr="001B3519">
        <w:t>behaviors</w:t>
      </w:r>
      <w:proofErr w:type="spellEnd"/>
      <w:r w:rsidR="007C28A1" w:rsidRPr="001B3519">
        <w:t>, such as:</w:t>
      </w:r>
    </w:p>
    <w:p w14:paraId="5EBAB7E1" w14:textId="77777777" w:rsidR="007C28A1" w:rsidRPr="001B3519" w:rsidRDefault="007C28A1" w:rsidP="007C28A1">
      <w:pPr>
        <w:numPr>
          <w:ilvl w:val="0"/>
          <w:numId w:val="16"/>
        </w:numPr>
      </w:pPr>
      <w:r w:rsidRPr="001B3519">
        <w:rPr>
          <w:i/>
          <w:iCs/>
        </w:rPr>
        <w:t xml:space="preserve">Does a </w:t>
      </w:r>
      <w:proofErr w:type="spellStart"/>
      <w:r>
        <w:rPr>
          <w:i/>
          <w:iCs/>
        </w:rPr>
        <w:t>persulfide</w:t>
      </w:r>
      <w:proofErr w:type="spellEnd"/>
      <w:r>
        <w:rPr>
          <w:i/>
          <w:iCs/>
        </w:rPr>
        <w:t xml:space="preserve"> synthesizing </w:t>
      </w:r>
      <w:r w:rsidRPr="001B3519">
        <w:rPr>
          <w:i/>
          <w:iCs/>
        </w:rPr>
        <w:t>protein’s correlation with resistance become stronger when GPX4 is low?</w:t>
      </w:r>
    </w:p>
    <w:p w14:paraId="2CA3F533" w14:textId="681DA4C5" w:rsidR="007C28A1" w:rsidRPr="00DD520B" w:rsidRDefault="007C28A1" w:rsidP="00DD520B">
      <w:pPr>
        <w:numPr>
          <w:ilvl w:val="0"/>
          <w:numId w:val="16"/>
        </w:numPr>
      </w:pPr>
      <w:r w:rsidRPr="001B3519">
        <w:rPr>
          <w:i/>
          <w:iCs/>
        </w:rPr>
        <w:t xml:space="preserve">Is the effect of </w:t>
      </w:r>
      <w:r>
        <w:rPr>
          <w:i/>
          <w:iCs/>
        </w:rPr>
        <w:t>TST</w:t>
      </w:r>
      <w:r w:rsidRPr="001B3519">
        <w:rPr>
          <w:i/>
          <w:iCs/>
        </w:rPr>
        <w:t xml:space="preserve"> only apparent within certain expression contexts?</w:t>
      </w:r>
    </w:p>
    <w:p w14:paraId="5AC2CE8D" w14:textId="3E0D2F5D" w:rsidR="00DD520B" w:rsidRPr="009A06DF" w:rsidRDefault="00543CBF" w:rsidP="00DD520B">
      <w:r>
        <w:t>Corelation</w:t>
      </w:r>
      <w:r w:rsidR="00F7546F">
        <w:t xml:space="preserve"> &amp; </w:t>
      </w:r>
      <w:r w:rsidR="004C7F11">
        <w:t>SLR</w:t>
      </w:r>
      <w:r w:rsidR="00F7546F">
        <w:t xml:space="preserve"> analysis</w:t>
      </w:r>
      <w:r w:rsidR="00DD520B" w:rsidRPr="009A06DF">
        <w:t xml:space="preserve"> results:</w:t>
      </w:r>
    </w:p>
    <w:p w14:paraId="7E7AD15C" w14:textId="2F084572" w:rsidR="00DD520B" w:rsidRPr="00DD520B" w:rsidRDefault="00DD520B" w:rsidP="00DD520B">
      <w:pPr>
        <w:numPr>
          <w:ilvl w:val="0"/>
          <w:numId w:val="21"/>
        </w:numPr>
      </w:pPr>
      <w:r w:rsidRPr="00DD520B">
        <w:rPr>
          <w:i/>
          <w:iCs/>
        </w:rPr>
        <w:t>TST</w:t>
      </w:r>
      <w:r w:rsidRPr="00DD520B">
        <w:t xml:space="preserve"> shows </w:t>
      </w:r>
      <w:r w:rsidR="009F1CD5">
        <w:t>only intermediate and significant correlation in negligible GPX4 and both AIFM2&amp;GPX4 low subgroup (</w:t>
      </w:r>
      <w:r w:rsidR="009F1CD5" w:rsidRPr="00DD520B">
        <w:t>Pearson’s r ≈ 0.</w:t>
      </w:r>
      <w:r w:rsidR="009F1CD5">
        <w:t>32</w:t>
      </w:r>
      <w:r w:rsidR="009F1CD5" w:rsidRPr="00DD520B">
        <w:t xml:space="preserve"> </w:t>
      </w:r>
      <w:r w:rsidR="009F1CD5">
        <w:t xml:space="preserve">in negligible GPX4 </w:t>
      </w:r>
      <w:r w:rsidR="00EC23BD">
        <w:t>subgroup;</w:t>
      </w:r>
      <w:r w:rsidR="009F1CD5" w:rsidRPr="00DD520B">
        <w:t xml:space="preserve"> ≈ 0.2</w:t>
      </w:r>
      <w:r w:rsidR="009F1CD5">
        <w:t>6</w:t>
      </w:r>
      <w:r w:rsidR="009F1CD5" w:rsidRPr="00DD520B">
        <w:t xml:space="preserve"> in </w:t>
      </w:r>
      <w:r w:rsidR="00EC23BD" w:rsidRPr="00DD520B">
        <w:t>both</w:t>
      </w:r>
      <w:r w:rsidR="009F1CD5">
        <w:t xml:space="preserve"> </w:t>
      </w:r>
      <w:r w:rsidR="00EC23BD">
        <w:t>low</w:t>
      </w:r>
      <w:r w:rsidR="009F1CD5" w:rsidRPr="00DD520B">
        <w:t xml:space="preserve"> subgroup)</w:t>
      </w:r>
      <w:r w:rsidR="009F1CD5">
        <w:t xml:space="preserve">. It also shows </w:t>
      </w:r>
      <w:r w:rsidRPr="00DD520B">
        <w:t xml:space="preserve">weak but statistically significant positive correlation with </w:t>
      </w:r>
      <w:proofErr w:type="spellStart"/>
      <w:r w:rsidRPr="00DD520B">
        <w:t>Erastin</w:t>
      </w:r>
      <w:proofErr w:type="spellEnd"/>
      <w:r w:rsidRPr="00DD520B">
        <w:t xml:space="preserve"> resistance</w:t>
      </w:r>
      <w:r w:rsidR="009F1CD5">
        <w:t xml:space="preserve"> in other subgroup conditions</w:t>
      </w:r>
      <w:r w:rsidRPr="00DD520B">
        <w:t xml:space="preserve"> </w:t>
      </w:r>
      <w:r w:rsidR="009F1CD5">
        <w:t>(</w:t>
      </w:r>
      <w:r w:rsidR="009F1CD5" w:rsidRPr="00DD520B">
        <w:t>Pearson’s</w:t>
      </w:r>
      <w:r w:rsidRPr="00DD520B">
        <w:t xml:space="preserve"> r ≈ 0.1</w:t>
      </w:r>
      <w:r w:rsidR="009F1CD5">
        <w:t>7</w:t>
      </w:r>
      <w:r w:rsidR="00714EC7">
        <w:t xml:space="preserve">, </w:t>
      </w:r>
      <w:r w:rsidR="00714EC7" w:rsidRPr="00DD520B">
        <w:t>p ≈ 0.0</w:t>
      </w:r>
      <w:r w:rsidR="00714EC7">
        <w:t xml:space="preserve">4 </w:t>
      </w:r>
      <w:r w:rsidRPr="00DD520B">
        <w:t>across all samples;</w:t>
      </w:r>
      <w:r w:rsidR="00714EC7" w:rsidRPr="00714EC7">
        <w:t xml:space="preserve"> </w:t>
      </w:r>
      <w:r w:rsidR="00714EC7" w:rsidRPr="00DD520B">
        <w:t>Pearson’s r</w:t>
      </w:r>
      <w:r w:rsidRPr="00DD520B">
        <w:t xml:space="preserve"> ≈ 0.20</w:t>
      </w:r>
      <w:r w:rsidR="00714EC7">
        <w:t xml:space="preserve">, </w:t>
      </w:r>
      <w:r w:rsidR="00714EC7" w:rsidRPr="00DD520B">
        <w:t>p ≈ 0.0</w:t>
      </w:r>
      <w:r w:rsidR="00714EC7">
        <w:t>09</w:t>
      </w:r>
      <w:r w:rsidRPr="00DD520B">
        <w:t xml:space="preserve"> in the low GPX4 subgroup) (Table 1, Figure 1</w:t>
      </w:r>
      <w:r w:rsidR="008E1910">
        <w:t>B</w:t>
      </w:r>
      <w:r w:rsidRPr="00DD520B">
        <w:t>).</w:t>
      </w:r>
    </w:p>
    <w:p w14:paraId="48BEA3F8" w14:textId="77777777" w:rsidR="00DD520B" w:rsidRPr="00DD520B" w:rsidRDefault="00DD520B" w:rsidP="00DD520B">
      <w:pPr>
        <w:numPr>
          <w:ilvl w:val="0"/>
          <w:numId w:val="21"/>
        </w:numPr>
      </w:pPr>
      <w:r w:rsidRPr="00DD520B">
        <w:rPr>
          <w:i/>
          <w:iCs/>
        </w:rPr>
        <w:t>MPST</w:t>
      </w:r>
      <w:r w:rsidRPr="00DD520B">
        <w:t xml:space="preserve"> exhibits a moderate correlation (Pearson’s r ≈ 0.16–0.36), most notable in the high AIFM2 subgroup (Pearson’s r ≈ 0.37, p ≈ 0.014), suggesting functional synergy with AIFM2 (Table 1, Figure 1a).</w:t>
      </w:r>
    </w:p>
    <w:p w14:paraId="54A52A26" w14:textId="77777777" w:rsidR="00DD520B" w:rsidRPr="00DD520B" w:rsidRDefault="00DD520B" w:rsidP="00DD520B">
      <w:pPr>
        <w:numPr>
          <w:ilvl w:val="0"/>
          <w:numId w:val="21"/>
        </w:numPr>
      </w:pPr>
      <w:r w:rsidRPr="00DD520B">
        <w:rPr>
          <w:i/>
          <w:iCs/>
        </w:rPr>
        <w:t>SLC7A11</w:t>
      </w:r>
      <w:r w:rsidRPr="00DD520B">
        <w:t xml:space="preserve"> shows weak but consistent positive correlations across subgroups (Pearson’s r ≈ 0.13–0.15), supporting its role in ferroptosis regulation through cystine import.</w:t>
      </w:r>
    </w:p>
    <w:p w14:paraId="5F4ED177" w14:textId="77777777" w:rsidR="00DD520B" w:rsidRPr="00DD520B" w:rsidRDefault="00DD520B" w:rsidP="00DD520B">
      <w:pPr>
        <w:numPr>
          <w:ilvl w:val="0"/>
          <w:numId w:val="21"/>
        </w:numPr>
      </w:pPr>
      <w:r w:rsidRPr="00DD520B">
        <w:rPr>
          <w:i/>
          <w:iCs/>
        </w:rPr>
        <w:t>GPX4</w:t>
      </w:r>
      <w:r w:rsidRPr="00DD520B">
        <w:t xml:space="preserve"> and </w:t>
      </w:r>
      <w:r w:rsidRPr="00DD520B">
        <w:rPr>
          <w:i/>
          <w:iCs/>
        </w:rPr>
        <w:t>AIFM2</w:t>
      </w:r>
      <w:r w:rsidRPr="00DD520B">
        <w:t xml:space="preserve"> generally show the strongest individual correlations with </w:t>
      </w:r>
      <w:proofErr w:type="spellStart"/>
      <w:r w:rsidRPr="00DD520B">
        <w:t>Erastin</w:t>
      </w:r>
      <w:proofErr w:type="spellEnd"/>
      <w:r w:rsidRPr="00DD520B">
        <w:t xml:space="preserve"> resistance, consistent with their established roles as core ferroptosis inhibitors.</w:t>
      </w:r>
    </w:p>
    <w:p w14:paraId="267DCD41" w14:textId="26F6EE3B" w:rsidR="00B20909" w:rsidRPr="009A06DF" w:rsidRDefault="00B20909" w:rsidP="00B20909">
      <w:r w:rsidRPr="009A06DF">
        <w:t>Stratified multiple linear regression (MLR) models:</w:t>
      </w:r>
    </w:p>
    <w:p w14:paraId="4337F148" w14:textId="77777777" w:rsidR="00B20909" w:rsidRPr="00682310" w:rsidRDefault="00B20909" w:rsidP="00B20909">
      <w:pPr>
        <w:pStyle w:val="ListParagraph"/>
        <w:numPr>
          <w:ilvl w:val="1"/>
          <w:numId w:val="20"/>
        </w:numPr>
      </w:pPr>
      <w:r w:rsidRPr="00682310">
        <w:t>In the low GPX4 condition:</w:t>
      </w:r>
    </w:p>
    <w:p w14:paraId="5430399C" w14:textId="172EC23E" w:rsidR="00B20909" w:rsidRPr="00B20909" w:rsidRDefault="00B20909" w:rsidP="00B20909">
      <w:pPr>
        <w:numPr>
          <w:ilvl w:val="2"/>
          <w:numId w:val="18"/>
        </w:numPr>
      </w:pPr>
      <w:r w:rsidRPr="00B20909">
        <w:t>TST (β ≈ 0.17, p ≈ 0.02) and MPST (β ≈ 0.19, p ≈ 0.06) each contribute positively to resistance</w:t>
      </w:r>
      <w:r w:rsidR="000110D6">
        <w:t xml:space="preserve"> (Table 2)</w:t>
      </w:r>
      <w:r w:rsidRPr="00B20909">
        <w:t>.</w:t>
      </w:r>
    </w:p>
    <w:p w14:paraId="591F096F" w14:textId="5D24D24F" w:rsidR="00B20909" w:rsidRPr="00B20909" w:rsidRDefault="00B20909" w:rsidP="00B20909">
      <w:pPr>
        <w:numPr>
          <w:ilvl w:val="2"/>
          <w:numId w:val="18"/>
        </w:numPr>
      </w:pPr>
      <w:r w:rsidRPr="00B20909">
        <w:t>AIFM2 remains the strongest predictor (β ≈ 0.28–0.26, p &lt; 0.001), with relatively high explanatory power (R² ≈ 0.129–0.12, ΔR ≈ 0.07–0.</w:t>
      </w:r>
      <w:r w:rsidR="000110D6" w:rsidRPr="00B20909">
        <w:t>06)</w:t>
      </w:r>
      <w:r w:rsidR="000110D6">
        <w:t xml:space="preserve"> (Table 2)</w:t>
      </w:r>
      <w:r w:rsidRPr="00B20909">
        <w:t>.</w:t>
      </w:r>
    </w:p>
    <w:p w14:paraId="16B9D985" w14:textId="4B047588" w:rsidR="00B20909" w:rsidRPr="00B20909" w:rsidRDefault="00B20909" w:rsidP="00B20909">
      <w:pPr>
        <w:numPr>
          <w:ilvl w:val="2"/>
          <w:numId w:val="18"/>
        </w:numPr>
      </w:pPr>
      <w:r w:rsidRPr="00B20909">
        <w:t>SLC7A11 shows a weak but statistically significant association with resistance</w:t>
      </w:r>
      <w:r w:rsidR="00EC23BD">
        <w:t xml:space="preserve"> </w:t>
      </w:r>
      <w:r w:rsidRPr="00B20909">
        <w:t>in both the low GPX4</w:t>
      </w:r>
      <w:r w:rsidR="00EC23BD" w:rsidRPr="00B20909">
        <w:t>(β ≈ 0.13–0.15, p ≈ 0.03–0.04</w:t>
      </w:r>
      <w:r w:rsidR="00EC23BD" w:rsidRPr="00B20909">
        <w:t>) and</w:t>
      </w:r>
      <w:r w:rsidRPr="00B20909">
        <w:t xml:space="preserve"> all </w:t>
      </w:r>
      <w:r w:rsidR="000110D6" w:rsidRPr="00B20909">
        <w:t>groups</w:t>
      </w:r>
      <w:r w:rsidR="000110D6">
        <w:t xml:space="preserve"> </w:t>
      </w:r>
      <w:r w:rsidR="00EC23BD" w:rsidRPr="00B20909">
        <w:t>(β ≈ 0.15, p ≈ 0.0</w:t>
      </w:r>
      <w:r w:rsidR="00EC23BD">
        <w:t>15</w:t>
      </w:r>
      <w:r w:rsidR="00EC23BD" w:rsidRPr="00B20909">
        <w:t>–0.0</w:t>
      </w:r>
      <w:r w:rsidR="00EC23BD">
        <w:t>18</w:t>
      </w:r>
      <w:r w:rsidR="00EC23BD" w:rsidRPr="00B20909">
        <w:t xml:space="preserve">) </w:t>
      </w:r>
      <w:r w:rsidR="000110D6">
        <w:t>(Table 2 &amp; 6)</w:t>
      </w:r>
      <w:r w:rsidRPr="00B20909">
        <w:t>. While its contribution is smaller than that of AIFM2 or MPST, this effect is biologically plausible given SLC7A11’s role in cystine import and redox regulation</w:t>
      </w:r>
      <w:r w:rsidR="000110D6">
        <w:t>.</w:t>
      </w:r>
    </w:p>
    <w:p w14:paraId="72DA6FE5" w14:textId="77777777" w:rsidR="00B20909" w:rsidRPr="00B20909" w:rsidRDefault="00B20909" w:rsidP="00B20909">
      <w:pPr>
        <w:numPr>
          <w:ilvl w:val="1"/>
          <w:numId w:val="18"/>
        </w:numPr>
      </w:pPr>
      <w:r w:rsidRPr="00B20909">
        <w:t>In the high AIFM2 subgroup:</w:t>
      </w:r>
    </w:p>
    <w:p w14:paraId="4103A751" w14:textId="0C4CD600" w:rsidR="00B20909" w:rsidRPr="00B20909" w:rsidRDefault="00B20909" w:rsidP="00B20909">
      <w:pPr>
        <w:numPr>
          <w:ilvl w:val="2"/>
          <w:numId w:val="18"/>
        </w:numPr>
      </w:pPr>
      <w:r w:rsidRPr="00B20909">
        <w:t xml:space="preserve">MPST shows a strong independent effect (β ≈ 0.52, p ≈ 0.013), explaining over 55% of the model's R², suggesting a synergistic role with AIFM2 in promoting resistance (Table </w:t>
      </w:r>
      <w:r w:rsidR="00791D36">
        <w:t>3</w:t>
      </w:r>
      <w:r w:rsidRPr="00B20909">
        <w:t>, Figures 2b and 2c).</w:t>
      </w:r>
    </w:p>
    <w:p w14:paraId="4436A378" w14:textId="77777777" w:rsidR="00B20909" w:rsidRDefault="00B20909" w:rsidP="00B20909">
      <w:pPr>
        <w:numPr>
          <w:ilvl w:val="1"/>
          <w:numId w:val="18"/>
        </w:numPr>
      </w:pPr>
      <w:r w:rsidRPr="00B20909">
        <w:t>In the negligible AIFM2 group:</w:t>
      </w:r>
    </w:p>
    <w:p w14:paraId="1D1D5E74" w14:textId="59C3518C" w:rsidR="009413CF" w:rsidRDefault="00B20909" w:rsidP="009413CF">
      <w:pPr>
        <w:numPr>
          <w:ilvl w:val="2"/>
          <w:numId w:val="18"/>
        </w:numPr>
      </w:pPr>
      <w:r w:rsidRPr="00B20909">
        <w:lastRenderedPageBreak/>
        <w:t xml:space="preserve">GPX4 dominates the resistance phenotype, accounting for &gt;97% of model variance, indicating that in the absence of AIFM2, GPX4 is the primary determinant (Table </w:t>
      </w:r>
      <w:r w:rsidR="000110D6">
        <w:t>4</w:t>
      </w:r>
      <w:r w:rsidRPr="00B20909">
        <w:t>, Figures 2b and 2c).</w:t>
      </w:r>
    </w:p>
    <w:p w14:paraId="1E03BC99" w14:textId="77777777" w:rsidR="000110D6" w:rsidRDefault="000110D6" w:rsidP="000110D6">
      <w:pPr>
        <w:ind w:left="2160"/>
      </w:pPr>
    </w:p>
    <w:p w14:paraId="4157BC43" w14:textId="7DF393DD" w:rsidR="009413CF" w:rsidRDefault="009413CF" w:rsidP="009413CF">
      <w:pPr>
        <w:numPr>
          <w:ilvl w:val="1"/>
          <w:numId w:val="18"/>
        </w:numPr>
      </w:pPr>
      <w:r>
        <w:t>In all and both low groups:</w:t>
      </w:r>
    </w:p>
    <w:p w14:paraId="5A25B5CD" w14:textId="4F15E59B" w:rsidR="001E2372" w:rsidRDefault="001E2372" w:rsidP="001E2372">
      <w:pPr>
        <w:numPr>
          <w:ilvl w:val="2"/>
          <w:numId w:val="18"/>
        </w:numPr>
      </w:pPr>
      <w:r w:rsidRPr="001E2372">
        <w:t xml:space="preserve">In the full </w:t>
      </w:r>
      <w:r w:rsidR="007C28A1" w:rsidRPr="001E2372">
        <w:t>dataset</w:t>
      </w:r>
      <w:r w:rsidR="007C28A1">
        <w:t xml:space="preserve"> (all subgroup)</w:t>
      </w:r>
      <w:r w:rsidR="005F78C0" w:rsidRPr="001E2372">
        <w:t xml:space="preserve"> GPX</w:t>
      </w:r>
      <w:r w:rsidRPr="001E2372">
        <w:t xml:space="preserve">4 consistently exhibited the strongest effect on </w:t>
      </w:r>
      <w:proofErr w:type="spellStart"/>
      <w:r w:rsidRPr="001E2372">
        <w:t>Erastin</w:t>
      </w:r>
      <w:proofErr w:type="spellEnd"/>
      <w:r w:rsidRPr="001E2372">
        <w:t xml:space="preserve"> resistance, followed by AIFM2, as expected. While TST and MPST also showed weak but statistically significant associations, the overall low R² values (≈0.10–0.09) suggest these models explain only a limited portion of the resistance </w:t>
      </w:r>
      <w:r w:rsidR="00791D36" w:rsidRPr="001E2372">
        <w:t>variance</w:t>
      </w:r>
      <w:r w:rsidR="007C28A1">
        <w:t xml:space="preserve"> indicating the existence of more complex and nonlinear systems promoting </w:t>
      </w:r>
      <w:proofErr w:type="spellStart"/>
      <w:r w:rsidR="007C28A1">
        <w:t>erastin</w:t>
      </w:r>
      <w:proofErr w:type="spellEnd"/>
      <w:r w:rsidR="007C28A1">
        <w:t xml:space="preserve"> resistance and sensitivity overall</w:t>
      </w:r>
      <w:r w:rsidR="00791D36">
        <w:t xml:space="preserve"> (Table 6</w:t>
      </w:r>
      <w:r w:rsidR="00176E24">
        <w:t>, Figure 2C</w:t>
      </w:r>
      <w:r w:rsidR="00791D36">
        <w:t>)</w:t>
      </w:r>
      <w:r w:rsidRPr="001E2372">
        <w:t xml:space="preserve">. </w:t>
      </w:r>
    </w:p>
    <w:p w14:paraId="77880B7A" w14:textId="32C3CCE3" w:rsidR="009F1CD5" w:rsidRDefault="001E2372" w:rsidP="009A031D">
      <w:pPr>
        <w:numPr>
          <w:ilvl w:val="2"/>
          <w:numId w:val="18"/>
        </w:numPr>
      </w:pPr>
      <w:r w:rsidRPr="001E2372">
        <w:t>Notably, in the low-GPX4 and low-AIFM2 subgroup—despite a smaller but still robust sample size—the TST model demonstrated improved explanatory power (R² ≈ 0.17), with both AIFM2 (β ≈ 0.53, p ≈ 0.0</w:t>
      </w:r>
      <w:r>
        <w:t>58</w:t>
      </w:r>
      <w:r w:rsidRPr="001E2372">
        <w:t>) and TST (β ≈ 0.45, p ≈ 0.0</w:t>
      </w:r>
      <w:r>
        <w:t>58</w:t>
      </w:r>
      <w:r w:rsidRPr="001E2372">
        <w:t xml:space="preserve">) showing strong, significant positive effects. </w:t>
      </w:r>
      <w:r>
        <w:t xml:space="preserve">While adjusted p value is not exactly under the consensus </w:t>
      </w:r>
      <w:r w:rsidR="007C28A1">
        <w:t>thres</w:t>
      </w:r>
      <w:r>
        <w:t>hold of 0.05, it is close enough to be assessed as an indication of</w:t>
      </w:r>
      <w:r w:rsidRPr="001E2372">
        <w:t xml:space="preserve"> a potentially synergistic role under conditions of dual suppression in key ferroptosis regulators</w:t>
      </w:r>
      <w:r w:rsidR="007C28A1">
        <w:t>. A further study with higher sample</w:t>
      </w:r>
      <w:r w:rsidR="00791D36">
        <w:t xml:space="preserve"> </w:t>
      </w:r>
      <w:r w:rsidR="007C28A1">
        <w:t xml:space="preserve">volume would be plausible to verify this effect </w:t>
      </w:r>
      <w:r w:rsidR="00791D36">
        <w:t>(Table 5)</w:t>
      </w:r>
      <w:r w:rsidRPr="001E2372">
        <w:t>.</w:t>
      </w:r>
      <w:r w:rsidR="005F78C0">
        <w:t xml:space="preserve"> </w:t>
      </w:r>
    </w:p>
    <w:p w14:paraId="4D0FA7BC" w14:textId="379D76C5" w:rsidR="00B20909" w:rsidRPr="001B3519" w:rsidRDefault="00B20909" w:rsidP="001B3519">
      <w:r w:rsidRPr="00B20909">
        <w:t xml:space="preserve">Across both linear and stratified MLR models, TST and MPST are consistently associated with increased </w:t>
      </w:r>
      <w:proofErr w:type="spellStart"/>
      <w:r w:rsidRPr="00B20909">
        <w:t>Erastin</w:t>
      </w:r>
      <w:proofErr w:type="spellEnd"/>
      <w:r w:rsidRPr="00B20909">
        <w:t xml:space="preserve"> resistance, particularly under low GPX4 expression</w:t>
      </w:r>
      <w:r w:rsidR="009F1CD5">
        <w:t xml:space="preserve"> </w:t>
      </w:r>
      <w:r w:rsidRPr="003371E5">
        <w:t>(</w:t>
      </w:r>
      <w:r w:rsidR="00176E24">
        <w:t xml:space="preserve">Figure 2A, </w:t>
      </w:r>
      <w:r w:rsidRPr="003371E5">
        <w:t xml:space="preserve">Table </w:t>
      </w:r>
      <w:r>
        <w:t xml:space="preserve">1 &amp; </w:t>
      </w:r>
      <w:r w:rsidRPr="003371E5">
        <w:t>2</w:t>
      </w:r>
      <w:r>
        <w:t>)</w:t>
      </w:r>
      <w:r w:rsidRPr="001B3519">
        <w:t>.</w:t>
      </w:r>
      <w:r w:rsidRPr="00B20909">
        <w:t xml:space="preserve"> SLC7A11 shows a weak but statistically significant effect in the low GPX4 and full-sample models, suggesting a modest role in modulating ferroptosis </w:t>
      </w:r>
      <w:r w:rsidR="00176E24">
        <w:t xml:space="preserve">perhaps </w:t>
      </w:r>
      <w:r w:rsidRPr="00B20909">
        <w:t>via redox balance</w:t>
      </w:r>
      <w:r w:rsidR="00176E24">
        <w:t xml:space="preserve"> (</w:t>
      </w:r>
      <w:r w:rsidR="00176E24">
        <w:t>Figure 2A</w:t>
      </w:r>
      <w:r w:rsidR="00176E24">
        <w:t>)</w:t>
      </w:r>
      <w:r w:rsidRPr="00B20909">
        <w:t>. MPST exhibits a strong, AIFM2-dependent effect, especially in the high AIFM2 subgroup, where it accounts for the majority of model explanatory power</w:t>
      </w:r>
      <w:r w:rsidR="00791D36">
        <w:t xml:space="preserve"> (</w:t>
      </w:r>
      <w:r w:rsidR="00176E24">
        <w:t>Figure 2A</w:t>
      </w:r>
      <w:r w:rsidR="00791D36">
        <w:t>)</w:t>
      </w:r>
      <w:r w:rsidRPr="00B20909">
        <w:t>. In contrast, TST maintains a weaker but more broadly distributed effect, including in the low GPX</w:t>
      </w:r>
      <w:r w:rsidR="00176E24" w:rsidRPr="00B20909">
        <w:t>4</w:t>
      </w:r>
      <w:r w:rsidR="00176E24">
        <w:t xml:space="preserve">, </w:t>
      </w:r>
      <w:r w:rsidRPr="00B20909">
        <w:t>low AIFM2</w:t>
      </w:r>
      <w:r w:rsidR="00176E24">
        <w:t>, and both low</w:t>
      </w:r>
      <w:r w:rsidRPr="00B20909">
        <w:t xml:space="preserve"> </w:t>
      </w:r>
      <w:r w:rsidR="00176E24" w:rsidRPr="00B20909">
        <w:t>subgroups</w:t>
      </w:r>
      <w:r w:rsidRPr="00B20909">
        <w:t xml:space="preserve">, highlighting potential differences in how these enzymes contribute to ferroptosis </w:t>
      </w:r>
      <w:r w:rsidR="00791D36" w:rsidRPr="00B20909">
        <w:t>resistance</w:t>
      </w:r>
      <w:r w:rsidR="00791D36">
        <w:t xml:space="preserve"> (</w:t>
      </w:r>
      <w:r w:rsidR="00176E24">
        <w:t xml:space="preserve">Figure 2A, </w:t>
      </w:r>
      <w:r w:rsidR="00791D36">
        <w:t>Table</w:t>
      </w:r>
      <w:r w:rsidR="00176E24">
        <w:t xml:space="preserve"> 1, 3,</w:t>
      </w:r>
      <w:r w:rsidR="00791D36">
        <w:t xml:space="preserve"> 5)</w:t>
      </w:r>
      <w:r w:rsidRPr="00B20909">
        <w:t>.</w:t>
      </w:r>
    </w:p>
    <w:p w14:paraId="1F84595F" w14:textId="3FA7F855" w:rsidR="002544BF" w:rsidRDefault="001B3519" w:rsidP="00454A31">
      <w:r w:rsidRPr="001B3519">
        <w:t>Additionally</w:t>
      </w:r>
      <w:r w:rsidR="00782687">
        <w:t>,</w:t>
      </w:r>
      <w:r w:rsidRPr="001B3519">
        <w:t xml:space="preserve"> </w:t>
      </w:r>
      <w:r w:rsidR="00782687">
        <w:t xml:space="preserve">the </w:t>
      </w:r>
      <w:r w:rsidR="00782687" w:rsidRPr="001B3519">
        <w:t>revealed a positive correlation</w:t>
      </w:r>
      <w:r w:rsidR="00782687" w:rsidRPr="00782687">
        <w:t xml:space="preserve"> </w:t>
      </w:r>
      <w:r w:rsidR="00782687">
        <w:t xml:space="preserve">between </w:t>
      </w:r>
      <w:r w:rsidR="00782687" w:rsidRPr="001B3519">
        <w:t xml:space="preserve">TST expression and </w:t>
      </w:r>
      <w:proofErr w:type="spellStart"/>
      <w:r w:rsidR="00782687">
        <w:t>erastin</w:t>
      </w:r>
      <w:proofErr w:type="spellEnd"/>
      <w:r w:rsidR="00782687">
        <w:t xml:space="preserve"> </w:t>
      </w:r>
      <w:r w:rsidR="00782687" w:rsidRPr="001B3519">
        <w:t xml:space="preserve">resistance </w:t>
      </w:r>
      <w:r w:rsidRPr="001B3519">
        <w:t xml:space="preserve">within the </w:t>
      </w:r>
      <w:r w:rsidR="00176E24">
        <w:t>both low</w:t>
      </w:r>
      <w:r w:rsidRPr="001B3519">
        <w:t xml:space="preserve"> subgroup</w:t>
      </w:r>
      <w:r w:rsidR="00782687">
        <w:t xml:space="preserve"> in </w:t>
      </w:r>
      <w:r w:rsidR="00176E24">
        <w:t xml:space="preserve">correlation and </w:t>
      </w:r>
      <w:r w:rsidR="00782687">
        <w:t xml:space="preserve">LR </w:t>
      </w:r>
      <w:r w:rsidR="00176E24">
        <w:t xml:space="preserve">analysis </w:t>
      </w:r>
      <w:r w:rsidR="00782687">
        <w:t xml:space="preserve">also supported by </w:t>
      </w:r>
      <w:r w:rsidR="00176E24">
        <w:t>MLR,</w:t>
      </w:r>
      <w:r w:rsidRPr="001B3519">
        <w:t xml:space="preserve"> supporting the hypothesis that TST may function more broadly across ferroptosis contexts, while MPST’s effect appears more AIFM2-dependent (</w:t>
      </w:r>
      <w:r w:rsidR="009F1CD5">
        <w:t>Table</w:t>
      </w:r>
      <w:r w:rsidR="00791D36">
        <w:t xml:space="preserve"> </w:t>
      </w:r>
      <w:r w:rsidR="009F1CD5">
        <w:t xml:space="preserve">1, </w:t>
      </w:r>
      <w:r w:rsidR="00782687" w:rsidRPr="001B3519">
        <w:t xml:space="preserve">Figure </w:t>
      </w:r>
      <w:r w:rsidR="00782687">
        <w:t xml:space="preserve">1, </w:t>
      </w:r>
      <w:r w:rsidR="009F1CD5">
        <w:t>Table</w:t>
      </w:r>
      <w:r w:rsidR="00791D36">
        <w:t xml:space="preserve"> 5</w:t>
      </w:r>
      <w:r w:rsidRPr="001B3519">
        <w:t>).</w:t>
      </w:r>
    </w:p>
    <w:p w14:paraId="525EC0B1" w14:textId="571A98F6" w:rsidR="002544BF" w:rsidRPr="009A06DF" w:rsidRDefault="00F02028" w:rsidP="00454A31">
      <w:pPr>
        <w:rPr>
          <w:b/>
          <w:bCs/>
          <w:sz w:val="28"/>
          <w:szCs w:val="28"/>
        </w:rPr>
      </w:pPr>
      <w:r>
        <w:rPr>
          <w:b/>
          <w:bCs/>
          <w:sz w:val="28"/>
          <w:szCs w:val="28"/>
        </w:rPr>
        <w:t>7</w:t>
      </w:r>
      <w:r w:rsidR="009A06DF">
        <w:rPr>
          <w:b/>
          <w:bCs/>
          <w:sz w:val="28"/>
          <w:szCs w:val="28"/>
        </w:rPr>
        <w:t xml:space="preserve">.0 </w:t>
      </w:r>
      <w:r w:rsidR="002544BF" w:rsidRPr="009A06DF">
        <w:rPr>
          <w:b/>
          <w:bCs/>
          <w:sz w:val="28"/>
          <w:szCs w:val="28"/>
        </w:rPr>
        <w:t>Conclusion</w:t>
      </w:r>
    </w:p>
    <w:p w14:paraId="1EFA34D7" w14:textId="77777777" w:rsidR="00782687" w:rsidRPr="00782687" w:rsidRDefault="00782687" w:rsidP="00782687">
      <w:r w:rsidRPr="00782687">
        <w:t xml:space="preserve">While these results do not establish whether SLC7A11, TST, and MPST actively mediate ferroptosis resistance or merely serve as correlated markers within shared metabolic or regulatory pathways, they provide a foundational landscape of their associations with </w:t>
      </w:r>
      <w:proofErr w:type="spellStart"/>
      <w:r w:rsidRPr="00782687">
        <w:t>Erastin</w:t>
      </w:r>
      <w:proofErr w:type="spellEnd"/>
      <w:r w:rsidRPr="00782687">
        <w:t xml:space="preserve"> resistance across diverse cancer cell types. This global profile lays the groundwork for targeted functional studies and, when combined with lineage-specific analyses, could help identify </w:t>
      </w:r>
      <w:proofErr w:type="spellStart"/>
      <w:r w:rsidRPr="00782687">
        <w:t>tumor</w:t>
      </w:r>
      <w:proofErr w:type="spellEnd"/>
      <w:r w:rsidRPr="00782687">
        <w:t>-type–specific dependencies and clarify the broader biological relevance of these associations.</w:t>
      </w:r>
    </w:p>
    <w:p w14:paraId="7FC9DF63" w14:textId="3B69E6CE" w:rsidR="00782687" w:rsidRPr="00782687" w:rsidRDefault="00176E24" w:rsidP="00782687">
      <w:r>
        <w:t>Notably</w:t>
      </w:r>
      <w:r w:rsidR="00782687" w:rsidRPr="00782687">
        <w:t>, all correlations in this study were based on basal (pre-treatment) protein expression levels. Since gene and protein expression in cancer cells is highly dynamic and responsive to environmental stimuli, including drug exposure, the associations identified here may not fully reflect treatment-</w:t>
      </w:r>
      <w:r w:rsidR="00782687" w:rsidRPr="00782687">
        <w:lastRenderedPageBreak/>
        <w:t>induced regulatory mechanisms. For example, the absence of a clear CBS–</w:t>
      </w:r>
      <w:proofErr w:type="spellStart"/>
      <w:r w:rsidR="00782687" w:rsidRPr="00782687">
        <w:t>Erastin</w:t>
      </w:r>
      <w:proofErr w:type="spellEnd"/>
      <w:r w:rsidR="00782687" w:rsidRPr="00782687">
        <w:t xml:space="preserve"> resistance correlation in stratified linear regression models may indicate that CBS acts as a context-dependent or inducible ferroptosis suppressor, rather than one constitutively expressed at functionally relevant levels across cancer types.</w:t>
      </w:r>
    </w:p>
    <w:p w14:paraId="440E2110" w14:textId="66C303C6" w:rsidR="006A658B" w:rsidRPr="00D31881" w:rsidRDefault="00782687" w:rsidP="00D63FA1">
      <w:r w:rsidRPr="00782687">
        <w:t xml:space="preserve">To overcome this limitation, future studies could incorporate dynamic expression profiling, capturing protein level changes before and after </w:t>
      </w:r>
      <w:proofErr w:type="spellStart"/>
      <w:r w:rsidRPr="00782687">
        <w:t>Erastin</w:t>
      </w:r>
      <w:proofErr w:type="spellEnd"/>
      <w:r w:rsidRPr="00782687">
        <w:t xml:space="preserve"> exposure. While scaling such an approach to the level of the </w:t>
      </w:r>
      <w:proofErr w:type="spellStart"/>
      <w:r w:rsidRPr="00782687">
        <w:t>DepMap</w:t>
      </w:r>
      <w:proofErr w:type="spellEnd"/>
      <w:r w:rsidRPr="00782687">
        <w:t xml:space="preserve"> proteomics dataset—which quantified thousands of proteins via mass spectrometry across 375 cell lines (Gygi Lab, Viswanathan et al., 2020)—would be logistically and financially demanding, focused follow-up studies using a curated subset of cell lines, or patient-derived xenograft or organoid models, may yield more feasible and clinically actionable insights. These targeted approaches could be particularly informative </w:t>
      </w:r>
      <w:r w:rsidR="00D31881">
        <w:t xml:space="preserve">for highlighting the </w:t>
      </w:r>
      <w:r w:rsidRPr="00782687">
        <w:t xml:space="preserve">synergistic roles of GPX4, AIFM2, and downstream </w:t>
      </w:r>
      <w:proofErr w:type="spellStart"/>
      <w:r w:rsidRPr="00782687">
        <w:t>persulfide</w:t>
      </w:r>
      <w:proofErr w:type="spellEnd"/>
      <w:r w:rsidRPr="00782687">
        <w:t xml:space="preserve"> pathway components in ferroptosis resistance.</w:t>
      </w:r>
    </w:p>
    <w:p w14:paraId="283F1DFA" w14:textId="165582DD" w:rsidR="00AA20EB" w:rsidRPr="003E7D4D" w:rsidRDefault="003E7D4D" w:rsidP="00D63FA1">
      <w:pPr>
        <w:rPr>
          <w:b/>
          <w:bCs/>
          <w:sz w:val="28"/>
          <w:szCs w:val="28"/>
          <w:u w:val="single"/>
        </w:rPr>
      </w:pPr>
      <w:r>
        <w:rPr>
          <w:b/>
          <w:bCs/>
          <w:sz w:val="28"/>
          <w:szCs w:val="28"/>
          <w:u w:val="single"/>
        </w:rPr>
        <w:t xml:space="preserve">8.0 </w:t>
      </w:r>
      <w:r w:rsidR="00D925AD" w:rsidRPr="003E7D4D">
        <w:rPr>
          <w:b/>
          <w:bCs/>
          <w:sz w:val="28"/>
          <w:szCs w:val="28"/>
          <w:u w:val="single"/>
        </w:rPr>
        <w:t>References:</w:t>
      </w:r>
    </w:p>
    <w:p w14:paraId="538DA3E9" w14:textId="77777777" w:rsidR="00D1592C" w:rsidRPr="00356309" w:rsidRDefault="00D925AD" w:rsidP="00D1592C">
      <w:pPr>
        <w:pStyle w:val="ListParagraph"/>
        <w:numPr>
          <w:ilvl w:val="1"/>
          <w:numId w:val="13"/>
        </w:numPr>
        <w:rPr>
          <w:rFonts w:cstheme="minorHAnsi"/>
        </w:rPr>
      </w:pPr>
      <w:r w:rsidRPr="00356309">
        <w:rPr>
          <w:rFonts w:cstheme="minorHAnsi"/>
        </w:rPr>
        <w:t xml:space="preserve">Viswanathan, V. S., Ryan, M. J., Dhruv, H. D., Gill, S., </w:t>
      </w:r>
      <w:proofErr w:type="spellStart"/>
      <w:r w:rsidRPr="00356309">
        <w:rPr>
          <w:rFonts w:cstheme="minorHAnsi"/>
        </w:rPr>
        <w:t>Eichhoff</w:t>
      </w:r>
      <w:proofErr w:type="spellEnd"/>
      <w:r w:rsidRPr="00356309">
        <w:rPr>
          <w:rFonts w:cstheme="minorHAnsi"/>
        </w:rPr>
        <w:t xml:space="preserve">, O. M., Seashore-Ludlow, B., ... &amp; Stockwell, B. R. (2020). Dependency of a therapy-resistant state of cancer cells on a lipid peroxidase pathway. Cell, 181(5), 1046–1061.e21. </w:t>
      </w:r>
      <w:hyperlink r:id="rId34" w:history="1">
        <w:r w:rsidR="00D1592C" w:rsidRPr="00356309">
          <w:rPr>
            <w:rStyle w:val="Hyperlink"/>
            <w:rFonts w:cstheme="minorHAnsi"/>
            <w:color w:val="auto"/>
          </w:rPr>
          <w:t>https://doi.org/10.1</w:t>
        </w:r>
        <w:r w:rsidR="00D1592C" w:rsidRPr="00356309">
          <w:rPr>
            <w:rStyle w:val="Hyperlink"/>
            <w:rFonts w:cstheme="minorHAnsi"/>
            <w:color w:val="auto"/>
          </w:rPr>
          <w:t>0</w:t>
        </w:r>
        <w:r w:rsidR="00D1592C" w:rsidRPr="00356309">
          <w:rPr>
            <w:rStyle w:val="Hyperlink"/>
            <w:rFonts w:cstheme="minorHAnsi"/>
            <w:color w:val="auto"/>
          </w:rPr>
          <w:t>16/j.cell.2020.04.040</w:t>
        </w:r>
      </w:hyperlink>
    </w:p>
    <w:p w14:paraId="201342FA" w14:textId="77777777" w:rsidR="00967BB2" w:rsidRPr="00356309" w:rsidRDefault="00D1592C" w:rsidP="00967BB2">
      <w:pPr>
        <w:pStyle w:val="ListParagraph"/>
        <w:numPr>
          <w:ilvl w:val="1"/>
          <w:numId w:val="13"/>
        </w:numPr>
        <w:rPr>
          <w:rFonts w:eastAsia="Times New Roman" w:cstheme="minorHAnsi"/>
          <w:kern w:val="0"/>
          <w:lang w:eastAsia="en-GB"/>
          <w14:ligatures w14:val="none"/>
        </w:rPr>
      </w:pPr>
      <w:r w:rsidRPr="00356309">
        <w:rPr>
          <w:rFonts w:eastAsia="Times New Roman" w:cstheme="minorHAnsi"/>
          <w:kern w:val="0"/>
          <w:lang w:eastAsia="en-GB"/>
          <w14:ligatures w14:val="none"/>
        </w:rPr>
        <w:t xml:space="preserve"> </w:t>
      </w:r>
      <w:r w:rsidR="00967BB2" w:rsidRPr="00356309">
        <w:rPr>
          <w:rFonts w:eastAsia="Times New Roman" w:cstheme="minorHAnsi"/>
          <w:kern w:val="0"/>
          <w:lang w:eastAsia="en-GB"/>
          <w14:ligatures w14:val="none"/>
        </w:rPr>
        <w:t xml:space="preserve">Lu, B., Chen, X., Hong, Y., Zhu, H., He, Q., Yang, B., Ying, M., &amp; Cao, J. (2019). Identification of PRDX6 as a regulator of ferroptosis. Acta </w:t>
      </w:r>
      <w:proofErr w:type="spellStart"/>
      <w:r w:rsidR="00967BB2" w:rsidRPr="00356309">
        <w:rPr>
          <w:rFonts w:eastAsia="Times New Roman" w:cstheme="minorHAnsi"/>
          <w:kern w:val="0"/>
          <w:lang w:eastAsia="en-GB"/>
          <w14:ligatures w14:val="none"/>
        </w:rPr>
        <w:t>Pharmacologica</w:t>
      </w:r>
      <w:proofErr w:type="spellEnd"/>
      <w:r w:rsidR="00967BB2" w:rsidRPr="00356309">
        <w:rPr>
          <w:rFonts w:eastAsia="Times New Roman" w:cstheme="minorHAnsi"/>
          <w:kern w:val="0"/>
          <w:lang w:eastAsia="en-GB"/>
          <w14:ligatures w14:val="none"/>
        </w:rPr>
        <w:t xml:space="preserve"> Sinica, 40(10), 1334–1342. https://doi.org/10.1038/s41401-019-0233-9 </w:t>
      </w:r>
    </w:p>
    <w:p w14:paraId="682215F2" w14:textId="77777777" w:rsidR="00FC7461" w:rsidRPr="00356309" w:rsidRDefault="00967BB2" w:rsidP="00FC7461">
      <w:pPr>
        <w:pStyle w:val="ListParagraph"/>
        <w:numPr>
          <w:ilvl w:val="1"/>
          <w:numId w:val="13"/>
        </w:numPr>
        <w:rPr>
          <w:rFonts w:eastAsia="Times New Roman" w:cstheme="minorHAnsi"/>
          <w:kern w:val="0"/>
          <w:lang w:eastAsia="en-GB"/>
          <w14:ligatures w14:val="none"/>
        </w:rPr>
      </w:pPr>
      <w:r w:rsidRPr="00356309">
        <w:rPr>
          <w:rFonts w:eastAsia="Times New Roman" w:cstheme="minorHAnsi"/>
          <w:kern w:val="0"/>
          <w:lang w:eastAsia="en-GB"/>
          <w14:ligatures w14:val="none"/>
        </w:rPr>
        <w:t xml:space="preserve">Berndt, C., </w:t>
      </w:r>
      <w:proofErr w:type="spellStart"/>
      <w:r w:rsidRPr="00356309">
        <w:rPr>
          <w:rFonts w:eastAsia="Times New Roman" w:cstheme="minorHAnsi"/>
          <w:kern w:val="0"/>
          <w:lang w:eastAsia="en-GB"/>
          <w14:ligatures w14:val="none"/>
        </w:rPr>
        <w:t>Alborzinia</w:t>
      </w:r>
      <w:proofErr w:type="spellEnd"/>
      <w:r w:rsidRPr="00356309">
        <w:rPr>
          <w:rFonts w:eastAsia="Times New Roman" w:cstheme="minorHAnsi"/>
          <w:kern w:val="0"/>
          <w:lang w:eastAsia="en-GB"/>
          <w14:ligatures w14:val="none"/>
        </w:rPr>
        <w:t xml:space="preserve">, H., Amen, V. S., Ayton, S., </w:t>
      </w:r>
      <w:proofErr w:type="spellStart"/>
      <w:r w:rsidRPr="00356309">
        <w:rPr>
          <w:rFonts w:eastAsia="Times New Roman" w:cstheme="minorHAnsi"/>
          <w:kern w:val="0"/>
          <w:lang w:eastAsia="en-GB"/>
          <w14:ligatures w14:val="none"/>
        </w:rPr>
        <w:t>Barayeu</w:t>
      </w:r>
      <w:proofErr w:type="spellEnd"/>
      <w:r w:rsidRPr="00356309">
        <w:rPr>
          <w:rFonts w:eastAsia="Times New Roman" w:cstheme="minorHAnsi"/>
          <w:kern w:val="0"/>
          <w:lang w:eastAsia="en-GB"/>
          <w14:ligatures w14:val="none"/>
        </w:rPr>
        <w:t xml:space="preserve">, U., Bartelt, A., Bayir, H., Bebber, C. M., </w:t>
      </w:r>
      <w:proofErr w:type="spellStart"/>
      <w:r w:rsidRPr="00356309">
        <w:rPr>
          <w:rFonts w:eastAsia="Times New Roman" w:cstheme="minorHAnsi"/>
          <w:kern w:val="0"/>
          <w:lang w:eastAsia="en-GB"/>
          <w14:ligatures w14:val="none"/>
        </w:rPr>
        <w:t>Birsoy</w:t>
      </w:r>
      <w:proofErr w:type="spellEnd"/>
      <w:r w:rsidRPr="00356309">
        <w:rPr>
          <w:rFonts w:eastAsia="Times New Roman" w:cstheme="minorHAnsi"/>
          <w:kern w:val="0"/>
          <w:lang w:eastAsia="en-GB"/>
          <w14:ligatures w14:val="none"/>
        </w:rPr>
        <w:t xml:space="preserve">, K., Böttcher, J. P., </w:t>
      </w:r>
      <w:proofErr w:type="spellStart"/>
      <w:r w:rsidRPr="00356309">
        <w:rPr>
          <w:rFonts w:eastAsia="Times New Roman" w:cstheme="minorHAnsi"/>
          <w:kern w:val="0"/>
          <w:lang w:eastAsia="en-GB"/>
          <w14:ligatures w14:val="none"/>
        </w:rPr>
        <w:t>Brabletz</w:t>
      </w:r>
      <w:proofErr w:type="spellEnd"/>
      <w:r w:rsidRPr="00356309">
        <w:rPr>
          <w:rFonts w:eastAsia="Times New Roman" w:cstheme="minorHAnsi"/>
          <w:kern w:val="0"/>
          <w:lang w:eastAsia="en-GB"/>
          <w14:ligatures w14:val="none"/>
        </w:rPr>
        <w:t xml:space="preserve">, S., </w:t>
      </w:r>
      <w:proofErr w:type="spellStart"/>
      <w:r w:rsidRPr="00356309">
        <w:rPr>
          <w:rFonts w:eastAsia="Times New Roman" w:cstheme="minorHAnsi"/>
          <w:kern w:val="0"/>
          <w:lang w:eastAsia="en-GB"/>
          <w14:ligatures w14:val="none"/>
        </w:rPr>
        <w:t>Brabletz</w:t>
      </w:r>
      <w:proofErr w:type="spellEnd"/>
      <w:r w:rsidRPr="00356309">
        <w:rPr>
          <w:rFonts w:eastAsia="Times New Roman" w:cstheme="minorHAnsi"/>
          <w:kern w:val="0"/>
          <w:lang w:eastAsia="en-GB"/>
          <w14:ligatures w14:val="none"/>
        </w:rPr>
        <w:t xml:space="preserve">, T., Brown, A. R., </w:t>
      </w:r>
      <w:proofErr w:type="spellStart"/>
      <w:r w:rsidRPr="00356309">
        <w:rPr>
          <w:rFonts w:eastAsia="Times New Roman" w:cstheme="minorHAnsi"/>
          <w:kern w:val="0"/>
          <w:lang w:eastAsia="en-GB"/>
          <w14:ligatures w14:val="none"/>
        </w:rPr>
        <w:t>Brüne</w:t>
      </w:r>
      <w:proofErr w:type="spellEnd"/>
      <w:r w:rsidRPr="00356309">
        <w:rPr>
          <w:rFonts w:eastAsia="Times New Roman" w:cstheme="minorHAnsi"/>
          <w:kern w:val="0"/>
          <w:lang w:eastAsia="en-GB"/>
          <w14:ligatures w14:val="none"/>
        </w:rPr>
        <w:t xml:space="preserve">, B., Bulli, G., Bruneau, A., Chen, Q., DeNicola, G. M., Dick, T. P., … Conrad, M. (2024). Ferroptosis in health and disease. Redox Biology, 75, 103211. https://doi.org/10.1016/j.redox.2024.103211 </w:t>
      </w:r>
    </w:p>
    <w:p w14:paraId="53738AB5" w14:textId="77777777" w:rsidR="00255585" w:rsidRPr="004D3F81" w:rsidRDefault="00FC7461" w:rsidP="00255585">
      <w:pPr>
        <w:pStyle w:val="ListParagraph"/>
        <w:numPr>
          <w:ilvl w:val="1"/>
          <w:numId w:val="13"/>
        </w:numPr>
        <w:rPr>
          <w:rFonts w:eastAsia="Times New Roman" w:cstheme="minorHAnsi"/>
          <w:kern w:val="0"/>
          <w:lang w:eastAsia="en-GB"/>
          <w14:ligatures w14:val="none"/>
        </w:rPr>
      </w:pPr>
      <w:r w:rsidRPr="00356309">
        <w:rPr>
          <w:rFonts w:eastAsia="Times New Roman" w:cstheme="minorHAnsi"/>
          <w:kern w:val="0"/>
          <w:lang w:eastAsia="en-GB"/>
          <w14:ligatures w14:val="none"/>
        </w:rPr>
        <w:t xml:space="preserve">Chen, Z., </w:t>
      </w:r>
      <w:proofErr w:type="spellStart"/>
      <w:r w:rsidRPr="00356309">
        <w:rPr>
          <w:rFonts w:eastAsia="Times New Roman" w:cstheme="minorHAnsi"/>
          <w:kern w:val="0"/>
          <w:lang w:eastAsia="en-GB"/>
          <w14:ligatures w14:val="none"/>
        </w:rPr>
        <w:t>Inague</w:t>
      </w:r>
      <w:proofErr w:type="spellEnd"/>
      <w:r w:rsidRPr="00356309">
        <w:rPr>
          <w:rFonts w:eastAsia="Times New Roman" w:cstheme="minorHAnsi"/>
          <w:kern w:val="0"/>
          <w:lang w:eastAsia="en-GB"/>
          <w14:ligatures w14:val="none"/>
        </w:rPr>
        <w:t xml:space="preserve">, A., Kaushal, K., Fazeli, G., N Xavier da Silva, T., Ferreira dos Santos, A., </w:t>
      </w:r>
      <w:proofErr w:type="spellStart"/>
      <w:r w:rsidRPr="00356309">
        <w:rPr>
          <w:rFonts w:eastAsia="Times New Roman" w:cstheme="minorHAnsi"/>
          <w:kern w:val="0"/>
          <w:lang w:eastAsia="en-GB"/>
          <w14:ligatures w14:val="none"/>
        </w:rPr>
        <w:t>Cheytan</w:t>
      </w:r>
      <w:proofErr w:type="spellEnd"/>
      <w:r w:rsidRPr="00356309">
        <w:rPr>
          <w:rFonts w:eastAsia="Times New Roman" w:cstheme="minorHAnsi"/>
          <w:kern w:val="0"/>
          <w:lang w:eastAsia="en-GB"/>
          <w14:ligatures w14:val="none"/>
        </w:rPr>
        <w:t xml:space="preserve">, T., Porto Freitas, F., Yildiz, U., Gasparello Viviani, L., Santiago Lima, R., Peglow Pinz, M., Medeiros, I., Geronimo Pires Alegria, T., Pereira da Silva, R., Regina Diniz, L., </w:t>
      </w:r>
      <w:proofErr w:type="spellStart"/>
      <w:r w:rsidRPr="00356309">
        <w:rPr>
          <w:rFonts w:eastAsia="Times New Roman" w:cstheme="minorHAnsi"/>
          <w:kern w:val="0"/>
          <w:lang w:eastAsia="en-GB"/>
          <w14:ligatures w14:val="none"/>
        </w:rPr>
        <w:t>Weinzweig</w:t>
      </w:r>
      <w:proofErr w:type="spellEnd"/>
      <w:r w:rsidRPr="00356309">
        <w:rPr>
          <w:rFonts w:eastAsia="Times New Roman" w:cstheme="minorHAnsi"/>
          <w:kern w:val="0"/>
          <w:lang w:eastAsia="en-GB"/>
          <w14:ligatures w14:val="none"/>
        </w:rPr>
        <w:t xml:space="preserve">, S., Klein-Seetharaman, J., Trumpp, A., … Friedmann Angeli, J. P. </w:t>
      </w:r>
      <w:r w:rsidRPr="004D3F81">
        <w:rPr>
          <w:rFonts w:eastAsia="Times New Roman" w:cstheme="minorHAnsi"/>
          <w:kern w:val="0"/>
          <w:lang w:eastAsia="en-GB"/>
          <w14:ligatures w14:val="none"/>
        </w:rPr>
        <w:t xml:space="preserve">(2024). PRDX6 Contributes to Selenocysteine Metabolism and Ferroptosis Resistance. https://doi.org/10.1101/2024.06.04.597364 </w:t>
      </w:r>
    </w:p>
    <w:p w14:paraId="73B8749E" w14:textId="76206299" w:rsidR="00255585" w:rsidRPr="004D3F81" w:rsidRDefault="00255585" w:rsidP="00255585">
      <w:pPr>
        <w:pStyle w:val="ListParagraph"/>
        <w:numPr>
          <w:ilvl w:val="1"/>
          <w:numId w:val="13"/>
        </w:numPr>
        <w:rPr>
          <w:rFonts w:eastAsia="Times New Roman" w:cstheme="minorHAnsi"/>
          <w:kern w:val="0"/>
          <w:lang w:eastAsia="en-GB"/>
          <w14:ligatures w14:val="none"/>
        </w:rPr>
      </w:pPr>
      <w:r w:rsidRPr="004D3F81">
        <w:rPr>
          <w:rFonts w:eastAsia="Times New Roman" w:cstheme="minorHAnsi"/>
          <w:kern w:val="0"/>
          <w:lang w:eastAsia="en-GB"/>
          <w14:ligatures w14:val="none"/>
        </w:rPr>
        <w:t>Adamiec-</w:t>
      </w:r>
      <w:proofErr w:type="spellStart"/>
      <w:r w:rsidRPr="004D3F81">
        <w:rPr>
          <w:rFonts w:eastAsia="Times New Roman" w:cstheme="minorHAnsi"/>
          <w:kern w:val="0"/>
          <w:lang w:eastAsia="en-GB"/>
          <w14:ligatures w14:val="none"/>
        </w:rPr>
        <w:t>Organisciok</w:t>
      </w:r>
      <w:proofErr w:type="spellEnd"/>
      <w:r w:rsidRPr="004D3F81">
        <w:rPr>
          <w:rFonts w:eastAsia="Times New Roman" w:cstheme="minorHAnsi"/>
          <w:kern w:val="0"/>
          <w:lang w:eastAsia="en-GB"/>
          <w14:ligatures w14:val="none"/>
        </w:rPr>
        <w:t xml:space="preserve">, M., Wegrzyn, M., </w:t>
      </w:r>
      <w:proofErr w:type="spellStart"/>
      <w:r w:rsidRPr="004D3F81">
        <w:rPr>
          <w:rFonts w:eastAsia="Times New Roman" w:cstheme="minorHAnsi"/>
          <w:kern w:val="0"/>
          <w:lang w:eastAsia="en-GB"/>
          <w14:ligatures w14:val="none"/>
        </w:rPr>
        <w:t>Cienciala</w:t>
      </w:r>
      <w:proofErr w:type="spellEnd"/>
      <w:r w:rsidRPr="004D3F81">
        <w:rPr>
          <w:rFonts w:eastAsia="Times New Roman" w:cstheme="minorHAnsi"/>
          <w:kern w:val="0"/>
          <w:lang w:eastAsia="en-GB"/>
          <w14:ligatures w14:val="none"/>
        </w:rPr>
        <w:t xml:space="preserve">, L., Sojka, D., </w:t>
      </w:r>
      <w:proofErr w:type="spellStart"/>
      <w:r w:rsidRPr="004D3F81">
        <w:rPr>
          <w:rFonts w:eastAsia="Times New Roman" w:cstheme="minorHAnsi"/>
          <w:kern w:val="0"/>
          <w:lang w:eastAsia="en-GB"/>
          <w14:ligatures w14:val="none"/>
        </w:rPr>
        <w:t>Nackiewicz</w:t>
      </w:r>
      <w:proofErr w:type="spellEnd"/>
      <w:r w:rsidRPr="004D3F81">
        <w:rPr>
          <w:rFonts w:eastAsia="Times New Roman" w:cstheme="minorHAnsi"/>
          <w:kern w:val="0"/>
          <w:lang w:eastAsia="en-GB"/>
          <w14:ligatures w14:val="none"/>
        </w:rPr>
        <w:t xml:space="preserve">, J., &amp; </w:t>
      </w:r>
      <w:proofErr w:type="spellStart"/>
      <w:r w:rsidRPr="004D3F81">
        <w:rPr>
          <w:rFonts w:eastAsia="Times New Roman" w:cstheme="minorHAnsi"/>
          <w:kern w:val="0"/>
          <w:lang w:eastAsia="en-GB"/>
          <w14:ligatures w14:val="none"/>
        </w:rPr>
        <w:t>Skonieczna</w:t>
      </w:r>
      <w:proofErr w:type="spellEnd"/>
      <w:r w:rsidRPr="004D3F81">
        <w:rPr>
          <w:rFonts w:eastAsia="Times New Roman" w:cstheme="minorHAnsi"/>
          <w:kern w:val="0"/>
          <w:lang w:eastAsia="en-GB"/>
          <w14:ligatures w14:val="none"/>
        </w:rPr>
        <w:t xml:space="preserve">, M. (2023). Compensative resistance to </w:t>
      </w:r>
      <w:proofErr w:type="spellStart"/>
      <w:r w:rsidRPr="004D3F81">
        <w:rPr>
          <w:rFonts w:eastAsia="Times New Roman" w:cstheme="minorHAnsi"/>
          <w:kern w:val="0"/>
          <w:lang w:eastAsia="en-GB"/>
          <w14:ligatures w14:val="none"/>
        </w:rPr>
        <w:t>Erastin</w:t>
      </w:r>
      <w:proofErr w:type="spellEnd"/>
      <w:r w:rsidRPr="004D3F81">
        <w:rPr>
          <w:rFonts w:eastAsia="Times New Roman" w:cstheme="minorHAnsi"/>
          <w:kern w:val="0"/>
          <w:lang w:eastAsia="en-GB"/>
          <w14:ligatures w14:val="none"/>
        </w:rPr>
        <w:t xml:space="preserve">-induced ferroptosis in GPX4 knock-out mutants in HCT116 cell lines. Pharmaceuticals, 16(12), 1710. https://doi.org/10.3390/ph16121710 </w:t>
      </w:r>
    </w:p>
    <w:p w14:paraId="6A40A208" w14:textId="77777777" w:rsidR="0004323F" w:rsidRPr="004D3F81" w:rsidRDefault="00807E5D" w:rsidP="0004323F">
      <w:pPr>
        <w:pStyle w:val="ListParagraph"/>
        <w:numPr>
          <w:ilvl w:val="1"/>
          <w:numId w:val="13"/>
        </w:numPr>
        <w:spacing w:before="100" w:beforeAutospacing="1" w:after="100" w:afterAutospacing="1" w:line="240" w:lineRule="auto"/>
        <w:rPr>
          <w:rFonts w:eastAsia="Times New Roman" w:cstheme="minorHAnsi"/>
          <w:kern w:val="0"/>
          <w:lang w:eastAsia="en-GB"/>
          <w14:ligatures w14:val="none"/>
        </w:rPr>
      </w:pPr>
      <w:r w:rsidRPr="004D3F81">
        <w:rPr>
          <w:rFonts w:eastAsia="Times New Roman" w:cstheme="minorHAnsi"/>
          <w:kern w:val="0"/>
          <w:lang w:eastAsia="en-GB"/>
          <w14:ligatures w14:val="none"/>
        </w:rPr>
        <w:t xml:space="preserve">Erdélyi, K., </w:t>
      </w:r>
      <w:proofErr w:type="spellStart"/>
      <w:r w:rsidRPr="004D3F81">
        <w:rPr>
          <w:rFonts w:eastAsia="Times New Roman" w:cstheme="minorHAnsi"/>
          <w:kern w:val="0"/>
          <w:lang w:eastAsia="en-GB"/>
          <w14:ligatures w14:val="none"/>
        </w:rPr>
        <w:t>Ditrói</w:t>
      </w:r>
      <w:proofErr w:type="spellEnd"/>
      <w:r w:rsidRPr="004D3F81">
        <w:rPr>
          <w:rFonts w:eastAsia="Times New Roman" w:cstheme="minorHAnsi"/>
          <w:kern w:val="0"/>
          <w:lang w:eastAsia="en-GB"/>
          <w14:ligatures w14:val="none"/>
        </w:rPr>
        <w:t xml:space="preserve">, T., Johansson, H. J., Czikora, Á., Balog, N., Silwal-Pandit, L., Ida, T., Olasz, J., Hajdú, D., Mátrai, Z., Csuka, O., Uchida, K., </w:t>
      </w:r>
      <w:proofErr w:type="spellStart"/>
      <w:r w:rsidRPr="004D3F81">
        <w:rPr>
          <w:rFonts w:eastAsia="Times New Roman" w:cstheme="minorHAnsi"/>
          <w:kern w:val="0"/>
          <w:lang w:eastAsia="en-GB"/>
          <w14:ligatures w14:val="none"/>
        </w:rPr>
        <w:t>Tóvári</w:t>
      </w:r>
      <w:proofErr w:type="spellEnd"/>
      <w:r w:rsidRPr="004D3F81">
        <w:rPr>
          <w:rFonts w:eastAsia="Times New Roman" w:cstheme="minorHAnsi"/>
          <w:kern w:val="0"/>
          <w:lang w:eastAsia="en-GB"/>
          <w14:ligatures w14:val="none"/>
        </w:rPr>
        <w:t xml:space="preserve">, J., </w:t>
      </w:r>
      <w:proofErr w:type="spellStart"/>
      <w:r w:rsidRPr="004D3F81">
        <w:rPr>
          <w:rFonts w:eastAsia="Times New Roman" w:cstheme="minorHAnsi"/>
          <w:kern w:val="0"/>
          <w:lang w:eastAsia="en-GB"/>
          <w14:ligatures w14:val="none"/>
        </w:rPr>
        <w:t>Engebraten</w:t>
      </w:r>
      <w:proofErr w:type="spellEnd"/>
      <w:r w:rsidRPr="004D3F81">
        <w:rPr>
          <w:rFonts w:eastAsia="Times New Roman" w:cstheme="minorHAnsi"/>
          <w:kern w:val="0"/>
          <w:lang w:eastAsia="en-GB"/>
          <w14:ligatures w14:val="none"/>
        </w:rPr>
        <w:t xml:space="preserve">, O., Akaike, T., Børresen Dale, A.-L., </w:t>
      </w:r>
      <w:proofErr w:type="spellStart"/>
      <w:r w:rsidRPr="004D3F81">
        <w:rPr>
          <w:rFonts w:eastAsia="Times New Roman" w:cstheme="minorHAnsi"/>
          <w:kern w:val="0"/>
          <w:lang w:eastAsia="en-GB"/>
          <w14:ligatures w14:val="none"/>
        </w:rPr>
        <w:t>Kásler</w:t>
      </w:r>
      <w:proofErr w:type="spellEnd"/>
      <w:r w:rsidRPr="004D3F81">
        <w:rPr>
          <w:rFonts w:eastAsia="Times New Roman" w:cstheme="minorHAnsi"/>
          <w:kern w:val="0"/>
          <w:lang w:eastAsia="en-GB"/>
          <w14:ligatures w14:val="none"/>
        </w:rPr>
        <w:t xml:space="preserve">, M., </w:t>
      </w:r>
      <w:proofErr w:type="spellStart"/>
      <w:r w:rsidRPr="004D3F81">
        <w:rPr>
          <w:rFonts w:eastAsia="Times New Roman" w:cstheme="minorHAnsi"/>
          <w:kern w:val="0"/>
          <w:lang w:eastAsia="en-GB"/>
          <w14:ligatures w14:val="none"/>
        </w:rPr>
        <w:t>Lehtiö</w:t>
      </w:r>
      <w:proofErr w:type="spellEnd"/>
      <w:r w:rsidRPr="004D3F81">
        <w:rPr>
          <w:rFonts w:eastAsia="Times New Roman" w:cstheme="minorHAnsi"/>
          <w:kern w:val="0"/>
          <w:lang w:eastAsia="en-GB"/>
          <w14:ligatures w14:val="none"/>
        </w:rPr>
        <w:t xml:space="preserve">, J., &amp; Nagy, P. (2021). Reprogrammed </w:t>
      </w:r>
      <w:proofErr w:type="spellStart"/>
      <w:r w:rsidRPr="004D3F81">
        <w:rPr>
          <w:rFonts w:eastAsia="Times New Roman" w:cstheme="minorHAnsi"/>
          <w:kern w:val="0"/>
          <w:lang w:eastAsia="en-GB"/>
          <w14:ligatures w14:val="none"/>
        </w:rPr>
        <w:t>transsulfuration</w:t>
      </w:r>
      <w:proofErr w:type="spellEnd"/>
      <w:r w:rsidRPr="004D3F81">
        <w:rPr>
          <w:rFonts w:eastAsia="Times New Roman" w:cstheme="minorHAnsi"/>
          <w:kern w:val="0"/>
          <w:lang w:eastAsia="en-GB"/>
          <w14:ligatures w14:val="none"/>
        </w:rPr>
        <w:t xml:space="preserve"> promotes basal-like breast </w:t>
      </w:r>
      <w:proofErr w:type="spellStart"/>
      <w:r w:rsidRPr="004D3F81">
        <w:rPr>
          <w:rFonts w:eastAsia="Times New Roman" w:cstheme="minorHAnsi"/>
          <w:kern w:val="0"/>
          <w:lang w:eastAsia="en-GB"/>
          <w14:ligatures w14:val="none"/>
        </w:rPr>
        <w:t>tumor</w:t>
      </w:r>
      <w:proofErr w:type="spellEnd"/>
      <w:r w:rsidRPr="004D3F81">
        <w:rPr>
          <w:rFonts w:eastAsia="Times New Roman" w:cstheme="minorHAnsi"/>
          <w:kern w:val="0"/>
          <w:lang w:eastAsia="en-GB"/>
          <w14:ligatures w14:val="none"/>
        </w:rPr>
        <w:t xml:space="preserve"> progression via realigning cellular cysteine </w:t>
      </w:r>
      <w:proofErr w:type="spellStart"/>
      <w:r w:rsidRPr="004D3F81">
        <w:rPr>
          <w:rFonts w:eastAsia="Times New Roman" w:cstheme="minorHAnsi"/>
          <w:kern w:val="0"/>
          <w:lang w:eastAsia="en-GB"/>
          <w14:ligatures w14:val="none"/>
        </w:rPr>
        <w:t>persulfidation</w:t>
      </w:r>
      <w:proofErr w:type="spellEnd"/>
      <w:r w:rsidRPr="004D3F81">
        <w:rPr>
          <w:rFonts w:eastAsia="Times New Roman" w:cstheme="minorHAnsi"/>
          <w:kern w:val="0"/>
          <w:lang w:eastAsia="en-GB"/>
          <w14:ligatures w14:val="none"/>
        </w:rPr>
        <w:t xml:space="preserve">. Proceedings of the National Academy of Sciences, 118(45). https://doi.org/10.1073/pnas.2100050118 </w:t>
      </w:r>
    </w:p>
    <w:p w14:paraId="37EE1B52" w14:textId="2D7E8853" w:rsidR="0004323F" w:rsidRPr="004D3F81" w:rsidRDefault="0004323F" w:rsidP="0004323F">
      <w:pPr>
        <w:pStyle w:val="ListParagraph"/>
        <w:numPr>
          <w:ilvl w:val="1"/>
          <w:numId w:val="13"/>
        </w:numPr>
        <w:spacing w:before="100" w:beforeAutospacing="1" w:after="100" w:afterAutospacing="1" w:line="240" w:lineRule="auto"/>
        <w:rPr>
          <w:rFonts w:eastAsia="Times New Roman" w:cstheme="minorHAnsi"/>
          <w:kern w:val="0"/>
          <w:lang w:eastAsia="en-GB"/>
          <w14:ligatures w14:val="none"/>
        </w:rPr>
      </w:pPr>
      <w:r w:rsidRPr="004D3F81">
        <w:rPr>
          <w:rFonts w:eastAsia="Times New Roman" w:cstheme="minorHAnsi"/>
          <w:kern w:val="0"/>
          <w:lang w:eastAsia="en-GB"/>
          <w14:ligatures w14:val="none"/>
        </w:rPr>
        <w:t xml:space="preserve">Zhang, C., Liu, X., Jin, S., Chen, Y., &amp; Guo, R. (2022). Ferroptosis in cancer therapy: A novel approach to reversing drug resistance. Molecular Cancer, 21(1). https://doi.org/10.1186/s12943-022-01530-y </w:t>
      </w:r>
    </w:p>
    <w:p w14:paraId="1574E93B" w14:textId="77777777" w:rsidR="0004323F" w:rsidRPr="004D3F81" w:rsidRDefault="0004323F" w:rsidP="0004323F">
      <w:pPr>
        <w:pStyle w:val="ListParagraph"/>
        <w:numPr>
          <w:ilvl w:val="1"/>
          <w:numId w:val="13"/>
        </w:numPr>
        <w:rPr>
          <w:rFonts w:eastAsia="Times New Roman" w:cstheme="minorHAnsi"/>
          <w:kern w:val="0"/>
          <w:lang w:eastAsia="en-GB"/>
          <w14:ligatures w14:val="none"/>
        </w:rPr>
      </w:pPr>
      <w:r w:rsidRPr="004D3F81">
        <w:rPr>
          <w:rFonts w:eastAsia="Times New Roman" w:cstheme="minorHAnsi"/>
          <w:kern w:val="0"/>
          <w:lang w:eastAsia="en-GB"/>
          <w14:ligatures w14:val="none"/>
        </w:rPr>
        <w:t xml:space="preserve">Diao, J., Jia, Y., Dai, E., Liu, J., Kang, R., Tang, D., Han, L., Zhong, Y., &amp; Meng, L. (2024). </w:t>
      </w:r>
      <w:proofErr w:type="spellStart"/>
      <w:r w:rsidRPr="004D3F81">
        <w:rPr>
          <w:rFonts w:eastAsia="Times New Roman" w:cstheme="minorHAnsi"/>
          <w:kern w:val="0"/>
          <w:lang w:eastAsia="en-GB"/>
          <w14:ligatures w14:val="none"/>
        </w:rPr>
        <w:t>Ferroptotic</w:t>
      </w:r>
      <w:proofErr w:type="spellEnd"/>
      <w:r w:rsidRPr="004D3F81">
        <w:rPr>
          <w:rFonts w:eastAsia="Times New Roman" w:cstheme="minorHAnsi"/>
          <w:kern w:val="0"/>
          <w:lang w:eastAsia="en-GB"/>
          <w14:ligatures w14:val="none"/>
        </w:rPr>
        <w:t xml:space="preserve"> therapy in cancer: Benefits, side effects, and risks. Molecular Cancer, 23(1). https://doi.org/10.1186/s12943-024-01999-9 </w:t>
      </w:r>
    </w:p>
    <w:p w14:paraId="60347106" w14:textId="18D01B28" w:rsidR="00460700" w:rsidRPr="004D3F81" w:rsidRDefault="00460700" w:rsidP="00460700">
      <w:pPr>
        <w:pStyle w:val="ListParagraph"/>
        <w:numPr>
          <w:ilvl w:val="1"/>
          <w:numId w:val="13"/>
        </w:numPr>
        <w:spacing w:before="100" w:beforeAutospacing="1" w:after="100" w:afterAutospacing="1" w:line="240" w:lineRule="auto"/>
        <w:rPr>
          <w:rFonts w:eastAsia="Times New Roman" w:cstheme="minorHAnsi"/>
          <w:kern w:val="0"/>
          <w:lang w:eastAsia="en-GB"/>
          <w14:ligatures w14:val="none"/>
        </w:rPr>
      </w:pPr>
      <w:r w:rsidRPr="004D3F81">
        <w:rPr>
          <w:rFonts w:eastAsia="Times New Roman" w:cstheme="minorHAnsi"/>
          <w:kern w:val="0"/>
          <w:lang w:eastAsia="en-GB"/>
          <w14:ligatures w14:val="none"/>
        </w:rPr>
        <w:lastRenderedPageBreak/>
        <w:t xml:space="preserve">Wu, Z., </w:t>
      </w:r>
      <w:proofErr w:type="spellStart"/>
      <w:r w:rsidRPr="004D3F81">
        <w:rPr>
          <w:rFonts w:eastAsia="Times New Roman" w:cstheme="minorHAnsi"/>
          <w:kern w:val="0"/>
          <w:lang w:eastAsia="en-GB"/>
          <w14:ligatures w14:val="none"/>
        </w:rPr>
        <w:t>Barayeu</w:t>
      </w:r>
      <w:proofErr w:type="spellEnd"/>
      <w:r w:rsidRPr="004D3F81">
        <w:rPr>
          <w:rFonts w:eastAsia="Times New Roman" w:cstheme="minorHAnsi"/>
          <w:kern w:val="0"/>
          <w:lang w:eastAsia="en-GB"/>
          <w14:ligatures w14:val="none"/>
        </w:rPr>
        <w:t>, U., Schilling, D., Dick, T. P., &amp; Pratt, D. A. (2023). Emergence of (hydro)</w:t>
      </w:r>
      <w:proofErr w:type="spellStart"/>
      <w:r w:rsidRPr="004D3F81">
        <w:rPr>
          <w:rFonts w:eastAsia="Times New Roman" w:cstheme="minorHAnsi"/>
          <w:kern w:val="0"/>
          <w:lang w:eastAsia="en-GB"/>
          <w14:ligatures w14:val="none"/>
        </w:rPr>
        <w:t>persulfides</w:t>
      </w:r>
      <w:proofErr w:type="spellEnd"/>
      <w:r w:rsidRPr="004D3F81">
        <w:rPr>
          <w:rFonts w:eastAsia="Times New Roman" w:cstheme="minorHAnsi"/>
          <w:kern w:val="0"/>
          <w:lang w:eastAsia="en-GB"/>
          <w14:ligatures w14:val="none"/>
        </w:rPr>
        <w:t xml:space="preserve"> as suppressors of lipid peroxidation and </w:t>
      </w:r>
      <w:proofErr w:type="spellStart"/>
      <w:r w:rsidRPr="004D3F81">
        <w:rPr>
          <w:rFonts w:eastAsia="Times New Roman" w:cstheme="minorHAnsi"/>
          <w:kern w:val="0"/>
          <w:lang w:eastAsia="en-GB"/>
          <w14:ligatures w14:val="none"/>
        </w:rPr>
        <w:t>ferroptotic</w:t>
      </w:r>
      <w:proofErr w:type="spellEnd"/>
      <w:r w:rsidRPr="004D3F81">
        <w:rPr>
          <w:rFonts w:eastAsia="Times New Roman" w:cstheme="minorHAnsi"/>
          <w:kern w:val="0"/>
          <w:lang w:eastAsia="en-GB"/>
          <w14:ligatures w14:val="none"/>
        </w:rPr>
        <w:t xml:space="preserve"> cell death. Current Opinion in Chemical Biology, 76, 102353. https://doi.org/10.1016/j.cbpa.2023.102353 </w:t>
      </w:r>
    </w:p>
    <w:p w14:paraId="288EFEDD" w14:textId="63224EA1" w:rsidR="007C2299" w:rsidRPr="004D3F81" w:rsidRDefault="007C2299" w:rsidP="007C2299">
      <w:pPr>
        <w:pStyle w:val="ListParagraph"/>
        <w:numPr>
          <w:ilvl w:val="1"/>
          <w:numId w:val="13"/>
        </w:numPr>
        <w:spacing w:before="100" w:beforeAutospacing="1" w:after="100" w:afterAutospacing="1" w:line="240" w:lineRule="auto"/>
        <w:rPr>
          <w:rFonts w:eastAsia="Times New Roman" w:cstheme="minorHAnsi"/>
          <w:kern w:val="0"/>
          <w:lang w:eastAsia="en-GB"/>
          <w14:ligatures w14:val="none"/>
        </w:rPr>
      </w:pPr>
      <w:proofErr w:type="spellStart"/>
      <w:r w:rsidRPr="004D3F81">
        <w:rPr>
          <w:rFonts w:eastAsia="Times New Roman" w:cstheme="minorHAnsi"/>
          <w:kern w:val="0"/>
          <w:lang w:eastAsia="en-GB"/>
          <w14:ligatures w14:val="none"/>
        </w:rPr>
        <w:t>Barayeu</w:t>
      </w:r>
      <w:proofErr w:type="spellEnd"/>
      <w:r w:rsidRPr="004D3F81">
        <w:rPr>
          <w:rFonts w:eastAsia="Times New Roman" w:cstheme="minorHAnsi"/>
          <w:kern w:val="0"/>
          <w:lang w:eastAsia="en-GB"/>
          <w14:ligatures w14:val="none"/>
        </w:rPr>
        <w:t xml:space="preserve">, U., Schilling, D., Eid, M., Xavier da Silva, T. N., Schlicker, L., </w:t>
      </w:r>
      <w:proofErr w:type="spellStart"/>
      <w:r w:rsidRPr="004D3F81">
        <w:rPr>
          <w:rFonts w:eastAsia="Times New Roman" w:cstheme="minorHAnsi"/>
          <w:kern w:val="0"/>
          <w:lang w:eastAsia="en-GB"/>
          <w14:ligatures w14:val="none"/>
        </w:rPr>
        <w:t>Mitreska</w:t>
      </w:r>
      <w:proofErr w:type="spellEnd"/>
      <w:r w:rsidRPr="004D3F81">
        <w:rPr>
          <w:rFonts w:eastAsia="Times New Roman" w:cstheme="minorHAnsi"/>
          <w:kern w:val="0"/>
          <w:lang w:eastAsia="en-GB"/>
          <w14:ligatures w14:val="none"/>
        </w:rPr>
        <w:t xml:space="preserve">, N., Zapp, C., </w:t>
      </w:r>
      <w:proofErr w:type="spellStart"/>
      <w:r w:rsidRPr="004D3F81">
        <w:rPr>
          <w:rFonts w:eastAsia="Times New Roman" w:cstheme="minorHAnsi"/>
          <w:kern w:val="0"/>
          <w:lang w:eastAsia="en-GB"/>
          <w14:ligatures w14:val="none"/>
        </w:rPr>
        <w:t>Gräter</w:t>
      </w:r>
      <w:proofErr w:type="spellEnd"/>
      <w:r w:rsidRPr="004D3F81">
        <w:rPr>
          <w:rFonts w:eastAsia="Times New Roman" w:cstheme="minorHAnsi"/>
          <w:kern w:val="0"/>
          <w:lang w:eastAsia="en-GB"/>
          <w14:ligatures w14:val="none"/>
        </w:rPr>
        <w:t xml:space="preserve">, F., Miller, A. K., Kappl, R., Schulze, A., Friedmann Angeli, J. P., &amp; Dick, T. P. (2022). </w:t>
      </w:r>
      <w:proofErr w:type="spellStart"/>
      <w:r w:rsidRPr="004D3F81">
        <w:rPr>
          <w:rFonts w:eastAsia="Times New Roman" w:cstheme="minorHAnsi"/>
          <w:kern w:val="0"/>
          <w:lang w:eastAsia="en-GB"/>
          <w14:ligatures w14:val="none"/>
        </w:rPr>
        <w:t>Hydropersulfides</w:t>
      </w:r>
      <w:proofErr w:type="spellEnd"/>
      <w:r w:rsidRPr="004D3F81">
        <w:rPr>
          <w:rFonts w:eastAsia="Times New Roman" w:cstheme="minorHAnsi"/>
          <w:kern w:val="0"/>
          <w:lang w:eastAsia="en-GB"/>
          <w14:ligatures w14:val="none"/>
        </w:rPr>
        <w:t xml:space="preserve"> inhibit lipid peroxidation and ferroptosis by scavenging radicals. Nature Chemical Biology, 19(1), 28–37. </w:t>
      </w:r>
      <w:hyperlink r:id="rId35" w:history="1">
        <w:r w:rsidR="004D3F81" w:rsidRPr="004D3F81">
          <w:rPr>
            <w:rStyle w:val="Hyperlink"/>
            <w:rFonts w:eastAsia="Times New Roman" w:cstheme="minorHAnsi"/>
            <w:color w:val="auto"/>
            <w:kern w:val="0"/>
            <w:lang w:eastAsia="en-GB"/>
            <w14:ligatures w14:val="none"/>
          </w:rPr>
          <w:t>https://doi.org/10.1038/s41589-022-01145-w</w:t>
        </w:r>
      </w:hyperlink>
      <w:r w:rsidRPr="004D3F81">
        <w:rPr>
          <w:rFonts w:eastAsia="Times New Roman" w:cstheme="minorHAnsi"/>
          <w:kern w:val="0"/>
          <w:lang w:eastAsia="en-GB"/>
          <w14:ligatures w14:val="none"/>
        </w:rPr>
        <w:t xml:space="preserve"> </w:t>
      </w:r>
    </w:p>
    <w:p w14:paraId="0EC5E8A8" w14:textId="57AA6451" w:rsidR="004D3F81" w:rsidRPr="004D3F81" w:rsidRDefault="004D3F81" w:rsidP="004D3F81">
      <w:pPr>
        <w:pStyle w:val="ListParagraph"/>
        <w:numPr>
          <w:ilvl w:val="1"/>
          <w:numId w:val="13"/>
        </w:numPr>
        <w:spacing w:before="100" w:beforeAutospacing="1" w:after="100" w:afterAutospacing="1" w:line="240" w:lineRule="auto"/>
        <w:rPr>
          <w:rFonts w:eastAsia="Times New Roman" w:cstheme="minorHAnsi"/>
          <w:kern w:val="0"/>
          <w:lang w:eastAsia="en-GB"/>
          <w14:ligatures w14:val="none"/>
        </w:rPr>
      </w:pPr>
      <w:r w:rsidRPr="004D3F81">
        <w:rPr>
          <w:rFonts w:eastAsia="Times New Roman" w:cstheme="minorHAnsi"/>
          <w:kern w:val="0"/>
          <w:lang w:eastAsia="en-GB"/>
          <w14:ligatures w14:val="none"/>
        </w:rPr>
        <w:t xml:space="preserve">Corsello, S. M., Nagari, R. T., Spangler, R. D., Rossen, J., Kocak, M., Bryan, J. G., </w:t>
      </w:r>
      <w:proofErr w:type="spellStart"/>
      <w:r w:rsidRPr="004D3F81">
        <w:rPr>
          <w:rFonts w:eastAsia="Times New Roman" w:cstheme="minorHAnsi"/>
          <w:kern w:val="0"/>
          <w:lang w:eastAsia="en-GB"/>
          <w14:ligatures w14:val="none"/>
        </w:rPr>
        <w:t>Humeidi</w:t>
      </w:r>
      <w:proofErr w:type="spellEnd"/>
      <w:r w:rsidRPr="004D3F81">
        <w:rPr>
          <w:rFonts w:eastAsia="Times New Roman" w:cstheme="minorHAnsi"/>
          <w:kern w:val="0"/>
          <w:lang w:eastAsia="en-GB"/>
          <w14:ligatures w14:val="none"/>
        </w:rPr>
        <w:t xml:space="preserve">, R., Peck, D., Wu, X., Tang, A. A., Wang, V. M., Bender, S. A., Lemire, E., Narayan, R., Montgomery, P., Ben-David, U., Garvie, C. W., Chen, Y., Rees, M. G., … Golub, T. R. (2020). Discovering the anticancer potential of non-oncology drugs by systematic viability profiling. </w:t>
      </w:r>
      <w:r w:rsidRPr="004D3F81">
        <w:rPr>
          <w:rFonts w:eastAsia="Times New Roman" w:cstheme="minorHAnsi"/>
          <w:i/>
          <w:iCs/>
          <w:kern w:val="0"/>
          <w:lang w:eastAsia="en-GB"/>
          <w14:ligatures w14:val="none"/>
        </w:rPr>
        <w:t>Nature Cancer</w:t>
      </w:r>
      <w:r w:rsidRPr="004D3F81">
        <w:rPr>
          <w:rFonts w:eastAsia="Times New Roman" w:cstheme="minorHAnsi"/>
          <w:kern w:val="0"/>
          <w:lang w:eastAsia="en-GB"/>
          <w14:ligatures w14:val="none"/>
        </w:rPr>
        <w:t xml:space="preserve">, </w:t>
      </w:r>
      <w:r w:rsidRPr="004D3F81">
        <w:rPr>
          <w:rFonts w:eastAsia="Times New Roman" w:cstheme="minorHAnsi"/>
          <w:i/>
          <w:iCs/>
          <w:kern w:val="0"/>
          <w:lang w:eastAsia="en-GB"/>
          <w14:ligatures w14:val="none"/>
        </w:rPr>
        <w:t>1</w:t>
      </w:r>
      <w:r w:rsidRPr="004D3F81">
        <w:rPr>
          <w:rFonts w:eastAsia="Times New Roman" w:cstheme="minorHAnsi"/>
          <w:kern w:val="0"/>
          <w:lang w:eastAsia="en-GB"/>
          <w14:ligatures w14:val="none"/>
        </w:rPr>
        <w:t xml:space="preserve">(2), 235–248. https://doi.org/10.1038/s43018-019-0018-6 </w:t>
      </w:r>
    </w:p>
    <w:p w14:paraId="665CC6CB" w14:textId="4CD03D96" w:rsidR="004D3F81" w:rsidRPr="004D3F81" w:rsidRDefault="004D3F81" w:rsidP="004D3F81">
      <w:pPr>
        <w:pStyle w:val="ListParagraph"/>
        <w:numPr>
          <w:ilvl w:val="1"/>
          <w:numId w:val="13"/>
        </w:numPr>
        <w:spacing w:before="100" w:beforeAutospacing="1" w:after="100" w:afterAutospacing="1" w:line="240" w:lineRule="auto"/>
        <w:rPr>
          <w:rFonts w:eastAsia="Times New Roman" w:cstheme="minorHAnsi"/>
          <w:kern w:val="0"/>
          <w:lang w:eastAsia="en-GB"/>
          <w14:ligatures w14:val="none"/>
        </w:rPr>
      </w:pPr>
      <w:proofErr w:type="spellStart"/>
      <w:r w:rsidRPr="004D3F81">
        <w:rPr>
          <w:rFonts w:eastAsia="Times New Roman" w:cstheme="minorHAnsi"/>
          <w:kern w:val="0"/>
          <w:lang w:eastAsia="en-GB"/>
          <w14:ligatures w14:val="none"/>
        </w:rPr>
        <w:t>Nusinow</w:t>
      </w:r>
      <w:proofErr w:type="spellEnd"/>
      <w:r w:rsidRPr="004D3F81">
        <w:rPr>
          <w:rFonts w:eastAsia="Times New Roman" w:cstheme="minorHAnsi"/>
          <w:kern w:val="0"/>
          <w:lang w:eastAsia="en-GB"/>
          <w14:ligatures w14:val="none"/>
        </w:rPr>
        <w:t xml:space="preserve">, D. P., </w:t>
      </w:r>
      <w:proofErr w:type="spellStart"/>
      <w:r w:rsidRPr="004D3F81">
        <w:rPr>
          <w:rFonts w:eastAsia="Times New Roman" w:cstheme="minorHAnsi"/>
          <w:kern w:val="0"/>
          <w:lang w:eastAsia="en-GB"/>
          <w14:ligatures w14:val="none"/>
        </w:rPr>
        <w:t>Szpyt</w:t>
      </w:r>
      <w:proofErr w:type="spellEnd"/>
      <w:r w:rsidRPr="004D3F81">
        <w:rPr>
          <w:rFonts w:eastAsia="Times New Roman" w:cstheme="minorHAnsi"/>
          <w:kern w:val="0"/>
          <w:lang w:eastAsia="en-GB"/>
          <w14:ligatures w14:val="none"/>
        </w:rPr>
        <w:t xml:space="preserve">, J., Ghandi, M., Rose, C. M., McDonald, E. R., Kalocsay, M., </w:t>
      </w:r>
      <w:proofErr w:type="spellStart"/>
      <w:r w:rsidRPr="004D3F81">
        <w:rPr>
          <w:rFonts w:eastAsia="Times New Roman" w:cstheme="minorHAnsi"/>
          <w:kern w:val="0"/>
          <w:lang w:eastAsia="en-GB"/>
          <w14:ligatures w14:val="none"/>
        </w:rPr>
        <w:t>Jané</w:t>
      </w:r>
      <w:proofErr w:type="spellEnd"/>
      <w:r w:rsidRPr="004D3F81">
        <w:rPr>
          <w:rFonts w:eastAsia="Times New Roman" w:cstheme="minorHAnsi"/>
          <w:kern w:val="0"/>
          <w:lang w:eastAsia="en-GB"/>
          <w14:ligatures w14:val="none"/>
        </w:rPr>
        <w:t xml:space="preserve">-Valbuena, J., Gelfand, E., Schweppe, D. K., </w:t>
      </w:r>
      <w:proofErr w:type="spellStart"/>
      <w:r w:rsidRPr="004D3F81">
        <w:rPr>
          <w:rFonts w:eastAsia="Times New Roman" w:cstheme="minorHAnsi"/>
          <w:kern w:val="0"/>
          <w:lang w:eastAsia="en-GB"/>
          <w14:ligatures w14:val="none"/>
        </w:rPr>
        <w:t>Jedrychowski</w:t>
      </w:r>
      <w:proofErr w:type="spellEnd"/>
      <w:r w:rsidRPr="004D3F81">
        <w:rPr>
          <w:rFonts w:eastAsia="Times New Roman" w:cstheme="minorHAnsi"/>
          <w:kern w:val="0"/>
          <w:lang w:eastAsia="en-GB"/>
          <w14:ligatures w14:val="none"/>
        </w:rPr>
        <w:t xml:space="preserve">, M., </w:t>
      </w:r>
      <w:proofErr w:type="spellStart"/>
      <w:r w:rsidRPr="004D3F81">
        <w:rPr>
          <w:rFonts w:eastAsia="Times New Roman" w:cstheme="minorHAnsi"/>
          <w:kern w:val="0"/>
          <w:lang w:eastAsia="en-GB"/>
          <w14:ligatures w14:val="none"/>
        </w:rPr>
        <w:t>Golji</w:t>
      </w:r>
      <w:proofErr w:type="spellEnd"/>
      <w:r w:rsidRPr="004D3F81">
        <w:rPr>
          <w:rFonts w:eastAsia="Times New Roman" w:cstheme="minorHAnsi"/>
          <w:kern w:val="0"/>
          <w:lang w:eastAsia="en-GB"/>
          <w14:ligatures w14:val="none"/>
        </w:rPr>
        <w:t xml:space="preserve">, J., Porter, D. A., </w:t>
      </w:r>
      <w:proofErr w:type="spellStart"/>
      <w:r w:rsidRPr="004D3F81">
        <w:rPr>
          <w:rFonts w:eastAsia="Times New Roman" w:cstheme="minorHAnsi"/>
          <w:kern w:val="0"/>
          <w:lang w:eastAsia="en-GB"/>
          <w14:ligatures w14:val="none"/>
        </w:rPr>
        <w:t>Rejtar</w:t>
      </w:r>
      <w:proofErr w:type="spellEnd"/>
      <w:r w:rsidRPr="004D3F81">
        <w:rPr>
          <w:rFonts w:eastAsia="Times New Roman" w:cstheme="minorHAnsi"/>
          <w:kern w:val="0"/>
          <w:lang w:eastAsia="en-GB"/>
          <w14:ligatures w14:val="none"/>
        </w:rPr>
        <w:t xml:space="preserve">, T., Wang, Y. K., Kryukov, G. V., Stegmeier, F., Erickson, B. K., Garraway, L. A., Sellers, W. R., &amp; Gygi, S. P. (2020). Quantitative proteomics of the Cancer Cell Line </w:t>
      </w:r>
      <w:proofErr w:type="spellStart"/>
      <w:r w:rsidRPr="004D3F81">
        <w:rPr>
          <w:rFonts w:eastAsia="Times New Roman" w:cstheme="minorHAnsi"/>
          <w:kern w:val="0"/>
          <w:lang w:eastAsia="en-GB"/>
          <w14:ligatures w14:val="none"/>
        </w:rPr>
        <w:t>Encyclopedia</w:t>
      </w:r>
      <w:proofErr w:type="spellEnd"/>
      <w:r w:rsidRPr="004D3F81">
        <w:rPr>
          <w:rFonts w:eastAsia="Times New Roman" w:cstheme="minorHAnsi"/>
          <w:kern w:val="0"/>
          <w:lang w:eastAsia="en-GB"/>
          <w14:ligatures w14:val="none"/>
        </w:rPr>
        <w:t xml:space="preserve">. </w:t>
      </w:r>
      <w:r w:rsidRPr="004D3F81">
        <w:rPr>
          <w:rFonts w:eastAsia="Times New Roman" w:cstheme="minorHAnsi"/>
          <w:i/>
          <w:iCs/>
          <w:kern w:val="0"/>
          <w:lang w:eastAsia="en-GB"/>
          <w14:ligatures w14:val="none"/>
        </w:rPr>
        <w:t>Cell</w:t>
      </w:r>
      <w:r w:rsidRPr="004D3F81">
        <w:rPr>
          <w:rFonts w:eastAsia="Times New Roman" w:cstheme="minorHAnsi"/>
          <w:kern w:val="0"/>
          <w:lang w:eastAsia="en-GB"/>
          <w14:ligatures w14:val="none"/>
        </w:rPr>
        <w:t xml:space="preserve">, </w:t>
      </w:r>
      <w:r w:rsidRPr="004D3F81">
        <w:rPr>
          <w:rFonts w:eastAsia="Times New Roman" w:cstheme="minorHAnsi"/>
          <w:i/>
          <w:iCs/>
          <w:kern w:val="0"/>
          <w:lang w:eastAsia="en-GB"/>
          <w14:ligatures w14:val="none"/>
        </w:rPr>
        <w:t>180</w:t>
      </w:r>
      <w:r w:rsidRPr="004D3F81">
        <w:rPr>
          <w:rFonts w:eastAsia="Times New Roman" w:cstheme="minorHAnsi"/>
          <w:kern w:val="0"/>
          <w:lang w:eastAsia="en-GB"/>
          <w14:ligatures w14:val="none"/>
        </w:rPr>
        <w:t xml:space="preserve">(2). https://doi.org/10.1016/j.cell.2019.12.023 </w:t>
      </w:r>
    </w:p>
    <w:p w14:paraId="4676EE3B" w14:textId="77777777" w:rsidR="004D3F81" w:rsidRPr="00356309" w:rsidRDefault="004D3F81" w:rsidP="004D3F81">
      <w:pPr>
        <w:pStyle w:val="ListParagraph"/>
        <w:spacing w:before="100" w:beforeAutospacing="1" w:after="100" w:afterAutospacing="1" w:line="240" w:lineRule="auto"/>
        <w:ind w:left="1440"/>
        <w:rPr>
          <w:rFonts w:eastAsia="Times New Roman" w:cstheme="minorHAnsi"/>
          <w:kern w:val="0"/>
          <w:lang w:eastAsia="en-GB"/>
          <w14:ligatures w14:val="none"/>
        </w:rPr>
      </w:pPr>
    </w:p>
    <w:p w14:paraId="2CEF21BD" w14:textId="4E951F2B" w:rsidR="00D1592C" w:rsidRPr="00460700" w:rsidRDefault="00D1592C" w:rsidP="00460700">
      <w:pPr>
        <w:ind w:left="1080"/>
        <w:rPr>
          <w:sz w:val="24"/>
          <w:szCs w:val="24"/>
        </w:rPr>
      </w:pPr>
    </w:p>
    <w:p w14:paraId="43F1775E" w14:textId="4540A811" w:rsidR="00AA20EB" w:rsidRPr="00D63FA1" w:rsidRDefault="00AA20EB" w:rsidP="00D63FA1">
      <w:pPr>
        <w:rPr>
          <w:sz w:val="24"/>
          <w:szCs w:val="24"/>
        </w:rPr>
      </w:pPr>
    </w:p>
    <w:p w14:paraId="21DFB402" w14:textId="77777777" w:rsidR="00D63FA1" w:rsidRDefault="00D63FA1"/>
    <w:p w14:paraId="59F75D15" w14:textId="77777777" w:rsidR="008014B2" w:rsidRDefault="008014B2"/>
    <w:p w14:paraId="04C7B964" w14:textId="77777777" w:rsidR="008014B2" w:rsidRDefault="008014B2"/>
    <w:p w14:paraId="4CD89627" w14:textId="77777777" w:rsidR="008014B2" w:rsidRDefault="008014B2"/>
    <w:p w14:paraId="5E714A00" w14:textId="77777777" w:rsidR="008014B2" w:rsidRDefault="008014B2"/>
    <w:p w14:paraId="59916288" w14:textId="5C7C6EC3" w:rsidR="008014B2" w:rsidRDefault="008014B2"/>
    <w:p w14:paraId="353EB67E" w14:textId="77777777" w:rsidR="0027503A" w:rsidRDefault="0027503A"/>
    <w:p w14:paraId="0BF1DCC9" w14:textId="77777777" w:rsidR="0027503A" w:rsidRDefault="0027503A"/>
    <w:p w14:paraId="2E5BC1AD" w14:textId="2CB21FD5" w:rsidR="008014B2" w:rsidRDefault="008014B2"/>
    <w:sectPr w:rsidR="008014B2" w:rsidSect="004D14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F71E7"/>
    <w:multiLevelType w:val="multilevel"/>
    <w:tmpl w:val="CEA64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90997"/>
    <w:multiLevelType w:val="multilevel"/>
    <w:tmpl w:val="498C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A4DFE"/>
    <w:multiLevelType w:val="multilevel"/>
    <w:tmpl w:val="AE0C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25207"/>
    <w:multiLevelType w:val="multilevel"/>
    <w:tmpl w:val="3BB8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84627"/>
    <w:multiLevelType w:val="multilevel"/>
    <w:tmpl w:val="0856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A3F55"/>
    <w:multiLevelType w:val="multilevel"/>
    <w:tmpl w:val="D1F6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D2DFC"/>
    <w:multiLevelType w:val="multilevel"/>
    <w:tmpl w:val="947C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04774"/>
    <w:multiLevelType w:val="multilevel"/>
    <w:tmpl w:val="FF4A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35A63"/>
    <w:multiLevelType w:val="multilevel"/>
    <w:tmpl w:val="C268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816E0"/>
    <w:multiLevelType w:val="multilevel"/>
    <w:tmpl w:val="BFC0B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FF6DB4"/>
    <w:multiLevelType w:val="multilevel"/>
    <w:tmpl w:val="E100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C59CC"/>
    <w:multiLevelType w:val="multilevel"/>
    <w:tmpl w:val="C526B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82782"/>
    <w:multiLevelType w:val="multilevel"/>
    <w:tmpl w:val="A9B2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73007"/>
    <w:multiLevelType w:val="multilevel"/>
    <w:tmpl w:val="9774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97207"/>
    <w:multiLevelType w:val="multilevel"/>
    <w:tmpl w:val="A8BC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8E572E"/>
    <w:multiLevelType w:val="multilevel"/>
    <w:tmpl w:val="6B3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06DE7"/>
    <w:multiLevelType w:val="multilevel"/>
    <w:tmpl w:val="1C44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F3D4D"/>
    <w:multiLevelType w:val="multilevel"/>
    <w:tmpl w:val="9EFCBC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6056B"/>
    <w:multiLevelType w:val="multilevel"/>
    <w:tmpl w:val="3382521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E2C0B73"/>
    <w:multiLevelType w:val="multilevel"/>
    <w:tmpl w:val="6DE6A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E0F8E"/>
    <w:multiLevelType w:val="multilevel"/>
    <w:tmpl w:val="C86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478FD"/>
    <w:multiLevelType w:val="multilevel"/>
    <w:tmpl w:val="927C3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006943">
    <w:abstractNumId w:val="21"/>
  </w:num>
  <w:num w:numId="2" w16cid:durableId="1276057402">
    <w:abstractNumId w:val="2"/>
  </w:num>
  <w:num w:numId="3" w16cid:durableId="1769816283">
    <w:abstractNumId w:val="5"/>
  </w:num>
  <w:num w:numId="4" w16cid:durableId="724455639">
    <w:abstractNumId w:val="14"/>
  </w:num>
  <w:num w:numId="5" w16cid:durableId="944077740">
    <w:abstractNumId w:val="1"/>
  </w:num>
  <w:num w:numId="6" w16cid:durableId="1457330495">
    <w:abstractNumId w:val="10"/>
  </w:num>
  <w:num w:numId="7" w16cid:durableId="510146640">
    <w:abstractNumId w:val="8"/>
  </w:num>
  <w:num w:numId="8" w16cid:durableId="1994529815">
    <w:abstractNumId w:val="3"/>
  </w:num>
  <w:num w:numId="9" w16cid:durableId="259072879">
    <w:abstractNumId w:val="15"/>
  </w:num>
  <w:num w:numId="10" w16cid:durableId="1249463631">
    <w:abstractNumId w:val="6"/>
  </w:num>
  <w:num w:numId="11" w16cid:durableId="817652604">
    <w:abstractNumId w:val="4"/>
  </w:num>
  <w:num w:numId="12" w16cid:durableId="1950576417">
    <w:abstractNumId w:val="12"/>
  </w:num>
  <w:num w:numId="13" w16cid:durableId="1591041384">
    <w:abstractNumId w:val="17"/>
  </w:num>
  <w:num w:numId="14" w16cid:durableId="1159614495">
    <w:abstractNumId w:val="9"/>
  </w:num>
  <w:num w:numId="15" w16cid:durableId="1790775284">
    <w:abstractNumId w:val="7"/>
  </w:num>
  <w:num w:numId="16" w16cid:durableId="1991016205">
    <w:abstractNumId w:val="20"/>
  </w:num>
  <w:num w:numId="17" w16cid:durableId="1467157980">
    <w:abstractNumId w:val="13"/>
  </w:num>
  <w:num w:numId="18" w16cid:durableId="1876498094">
    <w:abstractNumId w:val="0"/>
  </w:num>
  <w:num w:numId="19" w16cid:durableId="1841844660">
    <w:abstractNumId w:val="19"/>
  </w:num>
  <w:num w:numId="20" w16cid:durableId="770904564">
    <w:abstractNumId w:val="11"/>
  </w:num>
  <w:num w:numId="21" w16cid:durableId="229003558">
    <w:abstractNumId w:val="16"/>
  </w:num>
  <w:num w:numId="22" w16cid:durableId="3400138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61FEB"/>
    <w:rsid w:val="000110D6"/>
    <w:rsid w:val="00025811"/>
    <w:rsid w:val="00032EF4"/>
    <w:rsid w:val="00040902"/>
    <w:rsid w:val="0004323F"/>
    <w:rsid w:val="000576DC"/>
    <w:rsid w:val="000903EB"/>
    <w:rsid w:val="00090CB4"/>
    <w:rsid w:val="00091F42"/>
    <w:rsid w:val="0009478F"/>
    <w:rsid w:val="000B6F25"/>
    <w:rsid w:val="000B7F32"/>
    <w:rsid w:val="000D5F6C"/>
    <w:rsid w:val="000D78BA"/>
    <w:rsid w:val="000F3207"/>
    <w:rsid w:val="00101A8A"/>
    <w:rsid w:val="001055D3"/>
    <w:rsid w:val="001105E8"/>
    <w:rsid w:val="001208B6"/>
    <w:rsid w:val="00135739"/>
    <w:rsid w:val="001401E2"/>
    <w:rsid w:val="00172247"/>
    <w:rsid w:val="001756DB"/>
    <w:rsid w:val="00176E24"/>
    <w:rsid w:val="001773AD"/>
    <w:rsid w:val="001855E8"/>
    <w:rsid w:val="001A2C00"/>
    <w:rsid w:val="001A71F4"/>
    <w:rsid w:val="001B3519"/>
    <w:rsid w:val="001D4DCF"/>
    <w:rsid w:val="001E2372"/>
    <w:rsid w:val="001E42D6"/>
    <w:rsid w:val="0024096D"/>
    <w:rsid w:val="002523C3"/>
    <w:rsid w:val="002544BF"/>
    <w:rsid w:val="00255585"/>
    <w:rsid w:val="00267830"/>
    <w:rsid w:val="0027503A"/>
    <w:rsid w:val="00296EF6"/>
    <w:rsid w:val="002A6043"/>
    <w:rsid w:val="002C4179"/>
    <w:rsid w:val="002C78F7"/>
    <w:rsid w:val="002D6087"/>
    <w:rsid w:val="003147ED"/>
    <w:rsid w:val="00314FB1"/>
    <w:rsid w:val="003306F9"/>
    <w:rsid w:val="003371E5"/>
    <w:rsid w:val="00356309"/>
    <w:rsid w:val="00357205"/>
    <w:rsid w:val="00362A11"/>
    <w:rsid w:val="003916CD"/>
    <w:rsid w:val="003A39EE"/>
    <w:rsid w:val="003A54BE"/>
    <w:rsid w:val="003D7CE0"/>
    <w:rsid w:val="003E199F"/>
    <w:rsid w:val="003E7D4D"/>
    <w:rsid w:val="00400B9B"/>
    <w:rsid w:val="004331C1"/>
    <w:rsid w:val="00454A31"/>
    <w:rsid w:val="00460700"/>
    <w:rsid w:val="00483D23"/>
    <w:rsid w:val="004A59C9"/>
    <w:rsid w:val="004B05F4"/>
    <w:rsid w:val="004C7F11"/>
    <w:rsid w:val="004D1498"/>
    <w:rsid w:val="004D3F81"/>
    <w:rsid w:val="004E5DE2"/>
    <w:rsid w:val="00502C4D"/>
    <w:rsid w:val="00503090"/>
    <w:rsid w:val="005211E1"/>
    <w:rsid w:val="00543CBF"/>
    <w:rsid w:val="00545DEC"/>
    <w:rsid w:val="00552A4A"/>
    <w:rsid w:val="00594E3A"/>
    <w:rsid w:val="005D6E45"/>
    <w:rsid w:val="005E39BA"/>
    <w:rsid w:val="005E4557"/>
    <w:rsid w:val="005F78C0"/>
    <w:rsid w:val="006346CD"/>
    <w:rsid w:val="00657F43"/>
    <w:rsid w:val="00677AF7"/>
    <w:rsid w:val="00682310"/>
    <w:rsid w:val="00694DAC"/>
    <w:rsid w:val="006A658B"/>
    <w:rsid w:val="006E6EFE"/>
    <w:rsid w:val="006F6EC0"/>
    <w:rsid w:val="00713138"/>
    <w:rsid w:val="00714EC7"/>
    <w:rsid w:val="00725435"/>
    <w:rsid w:val="007266BC"/>
    <w:rsid w:val="00761FEB"/>
    <w:rsid w:val="00782687"/>
    <w:rsid w:val="00782B8F"/>
    <w:rsid w:val="00791D36"/>
    <w:rsid w:val="007B583F"/>
    <w:rsid w:val="007C2299"/>
    <w:rsid w:val="007C28A1"/>
    <w:rsid w:val="007D7384"/>
    <w:rsid w:val="007F419E"/>
    <w:rsid w:val="008014B2"/>
    <w:rsid w:val="00807E5D"/>
    <w:rsid w:val="00810C8E"/>
    <w:rsid w:val="00821A1C"/>
    <w:rsid w:val="0083496E"/>
    <w:rsid w:val="00882E65"/>
    <w:rsid w:val="00890B97"/>
    <w:rsid w:val="00894EB6"/>
    <w:rsid w:val="008A7336"/>
    <w:rsid w:val="008E1910"/>
    <w:rsid w:val="008E34CA"/>
    <w:rsid w:val="008F0F3A"/>
    <w:rsid w:val="00902B02"/>
    <w:rsid w:val="009174CB"/>
    <w:rsid w:val="009413CF"/>
    <w:rsid w:val="009455A7"/>
    <w:rsid w:val="00946BFD"/>
    <w:rsid w:val="009502F0"/>
    <w:rsid w:val="00967BB2"/>
    <w:rsid w:val="00980A83"/>
    <w:rsid w:val="009A031D"/>
    <w:rsid w:val="009A06DF"/>
    <w:rsid w:val="009A3F9F"/>
    <w:rsid w:val="009C52EB"/>
    <w:rsid w:val="009C5EE1"/>
    <w:rsid w:val="009D75F0"/>
    <w:rsid w:val="009F1CD5"/>
    <w:rsid w:val="009F5785"/>
    <w:rsid w:val="00A04F07"/>
    <w:rsid w:val="00A06BF6"/>
    <w:rsid w:val="00A119FE"/>
    <w:rsid w:val="00A4530E"/>
    <w:rsid w:val="00A563F3"/>
    <w:rsid w:val="00A86E25"/>
    <w:rsid w:val="00AA20EB"/>
    <w:rsid w:val="00AE176B"/>
    <w:rsid w:val="00AE305E"/>
    <w:rsid w:val="00AF5EE6"/>
    <w:rsid w:val="00B04160"/>
    <w:rsid w:val="00B162E0"/>
    <w:rsid w:val="00B20909"/>
    <w:rsid w:val="00B25061"/>
    <w:rsid w:val="00B30090"/>
    <w:rsid w:val="00B36286"/>
    <w:rsid w:val="00B573D2"/>
    <w:rsid w:val="00B628DF"/>
    <w:rsid w:val="00B6306E"/>
    <w:rsid w:val="00B749CE"/>
    <w:rsid w:val="00B76178"/>
    <w:rsid w:val="00BA76FD"/>
    <w:rsid w:val="00BC0864"/>
    <w:rsid w:val="00C07B89"/>
    <w:rsid w:val="00C128FB"/>
    <w:rsid w:val="00C22DD1"/>
    <w:rsid w:val="00C30626"/>
    <w:rsid w:val="00C366B6"/>
    <w:rsid w:val="00C56C1D"/>
    <w:rsid w:val="00C92AF8"/>
    <w:rsid w:val="00CA09A0"/>
    <w:rsid w:val="00CB5E02"/>
    <w:rsid w:val="00CC3D4D"/>
    <w:rsid w:val="00CE55AA"/>
    <w:rsid w:val="00CF1B40"/>
    <w:rsid w:val="00D02584"/>
    <w:rsid w:val="00D12EDC"/>
    <w:rsid w:val="00D1592C"/>
    <w:rsid w:val="00D31881"/>
    <w:rsid w:val="00D3383C"/>
    <w:rsid w:val="00D565FA"/>
    <w:rsid w:val="00D63FA1"/>
    <w:rsid w:val="00D740F6"/>
    <w:rsid w:val="00D752E9"/>
    <w:rsid w:val="00D925AD"/>
    <w:rsid w:val="00DA7BC1"/>
    <w:rsid w:val="00DC0184"/>
    <w:rsid w:val="00DC4108"/>
    <w:rsid w:val="00DD520B"/>
    <w:rsid w:val="00E20B0C"/>
    <w:rsid w:val="00E343E3"/>
    <w:rsid w:val="00E51C49"/>
    <w:rsid w:val="00E56F8B"/>
    <w:rsid w:val="00E61C7C"/>
    <w:rsid w:val="00E753C1"/>
    <w:rsid w:val="00E758C4"/>
    <w:rsid w:val="00E80244"/>
    <w:rsid w:val="00EA4F44"/>
    <w:rsid w:val="00EC23BD"/>
    <w:rsid w:val="00F02028"/>
    <w:rsid w:val="00F21E7A"/>
    <w:rsid w:val="00F36ABE"/>
    <w:rsid w:val="00F556E6"/>
    <w:rsid w:val="00F7546F"/>
    <w:rsid w:val="00FA68DE"/>
    <w:rsid w:val="00FA6D58"/>
    <w:rsid w:val="00FB7BE6"/>
    <w:rsid w:val="00FC7461"/>
    <w:rsid w:val="00FD5CC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1CC5"/>
  <w15:chartTrackingRefBased/>
  <w15:docId w15:val="{11DA7D18-42B2-4537-B32E-39635FDC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F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1F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1F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1F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1F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1F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F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F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F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F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1F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1F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1F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1F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1F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F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F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FEB"/>
    <w:rPr>
      <w:rFonts w:eastAsiaTheme="majorEastAsia" w:cstheme="majorBidi"/>
      <w:color w:val="272727" w:themeColor="text1" w:themeTint="D8"/>
    </w:rPr>
  </w:style>
  <w:style w:type="paragraph" w:styleId="Title">
    <w:name w:val="Title"/>
    <w:basedOn w:val="Normal"/>
    <w:next w:val="Normal"/>
    <w:link w:val="TitleChar"/>
    <w:uiPriority w:val="10"/>
    <w:qFormat/>
    <w:rsid w:val="00761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F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F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FEB"/>
    <w:pPr>
      <w:spacing w:before="160"/>
      <w:jc w:val="center"/>
    </w:pPr>
    <w:rPr>
      <w:i/>
      <w:iCs/>
      <w:color w:val="404040" w:themeColor="text1" w:themeTint="BF"/>
    </w:rPr>
  </w:style>
  <w:style w:type="character" w:customStyle="1" w:styleId="QuoteChar">
    <w:name w:val="Quote Char"/>
    <w:basedOn w:val="DefaultParagraphFont"/>
    <w:link w:val="Quote"/>
    <w:uiPriority w:val="29"/>
    <w:rsid w:val="00761FEB"/>
    <w:rPr>
      <w:i/>
      <w:iCs/>
      <w:color w:val="404040" w:themeColor="text1" w:themeTint="BF"/>
    </w:rPr>
  </w:style>
  <w:style w:type="paragraph" w:styleId="ListParagraph">
    <w:name w:val="List Paragraph"/>
    <w:basedOn w:val="Normal"/>
    <w:uiPriority w:val="34"/>
    <w:qFormat/>
    <w:rsid w:val="00761FEB"/>
    <w:pPr>
      <w:ind w:left="720"/>
      <w:contextualSpacing/>
    </w:pPr>
  </w:style>
  <w:style w:type="character" w:styleId="IntenseEmphasis">
    <w:name w:val="Intense Emphasis"/>
    <w:basedOn w:val="DefaultParagraphFont"/>
    <w:uiPriority w:val="21"/>
    <w:qFormat/>
    <w:rsid w:val="00761FEB"/>
    <w:rPr>
      <w:i/>
      <w:iCs/>
      <w:color w:val="2F5496" w:themeColor="accent1" w:themeShade="BF"/>
    </w:rPr>
  </w:style>
  <w:style w:type="paragraph" w:styleId="IntenseQuote">
    <w:name w:val="Intense Quote"/>
    <w:basedOn w:val="Normal"/>
    <w:next w:val="Normal"/>
    <w:link w:val="IntenseQuoteChar"/>
    <w:uiPriority w:val="30"/>
    <w:qFormat/>
    <w:rsid w:val="00761F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1FEB"/>
    <w:rPr>
      <w:i/>
      <w:iCs/>
      <w:color w:val="2F5496" w:themeColor="accent1" w:themeShade="BF"/>
    </w:rPr>
  </w:style>
  <w:style w:type="character" w:styleId="IntenseReference">
    <w:name w:val="Intense Reference"/>
    <w:basedOn w:val="DefaultParagraphFont"/>
    <w:uiPriority w:val="32"/>
    <w:qFormat/>
    <w:rsid w:val="00761FEB"/>
    <w:rPr>
      <w:b/>
      <w:bCs/>
      <w:smallCaps/>
      <w:color w:val="2F5496" w:themeColor="accent1" w:themeShade="BF"/>
      <w:spacing w:val="5"/>
    </w:rPr>
  </w:style>
  <w:style w:type="paragraph" w:styleId="NormalWeb">
    <w:name w:val="Normal (Web)"/>
    <w:basedOn w:val="Normal"/>
    <w:uiPriority w:val="99"/>
    <w:semiHidden/>
    <w:unhideWhenUsed/>
    <w:rsid w:val="00A86E25"/>
    <w:rPr>
      <w:rFonts w:ascii="Times New Roman" w:hAnsi="Times New Roman" w:cs="Times New Roman"/>
      <w:sz w:val="24"/>
      <w:szCs w:val="24"/>
    </w:rPr>
  </w:style>
  <w:style w:type="character" w:styleId="Hyperlink">
    <w:name w:val="Hyperlink"/>
    <w:basedOn w:val="DefaultParagraphFont"/>
    <w:uiPriority w:val="99"/>
    <w:unhideWhenUsed/>
    <w:rsid w:val="007B583F"/>
    <w:rPr>
      <w:color w:val="0563C1" w:themeColor="hyperlink"/>
      <w:u w:val="single"/>
    </w:rPr>
  </w:style>
  <w:style w:type="character" w:styleId="UnresolvedMention">
    <w:name w:val="Unresolved Mention"/>
    <w:basedOn w:val="DefaultParagraphFont"/>
    <w:uiPriority w:val="99"/>
    <w:semiHidden/>
    <w:unhideWhenUsed/>
    <w:rsid w:val="007B583F"/>
    <w:rPr>
      <w:color w:val="605E5C"/>
      <w:shd w:val="clear" w:color="auto" w:fill="E1DFDD"/>
    </w:rPr>
  </w:style>
  <w:style w:type="character" w:styleId="Emphasis">
    <w:name w:val="Emphasis"/>
    <w:basedOn w:val="DefaultParagraphFont"/>
    <w:uiPriority w:val="20"/>
    <w:qFormat/>
    <w:rsid w:val="00D159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95091">
      <w:bodyDiv w:val="1"/>
      <w:marLeft w:val="0"/>
      <w:marRight w:val="0"/>
      <w:marTop w:val="0"/>
      <w:marBottom w:val="0"/>
      <w:divBdr>
        <w:top w:val="none" w:sz="0" w:space="0" w:color="auto"/>
        <w:left w:val="none" w:sz="0" w:space="0" w:color="auto"/>
        <w:bottom w:val="none" w:sz="0" w:space="0" w:color="auto"/>
        <w:right w:val="none" w:sz="0" w:space="0" w:color="auto"/>
      </w:divBdr>
    </w:div>
    <w:div w:id="51006692">
      <w:bodyDiv w:val="1"/>
      <w:marLeft w:val="0"/>
      <w:marRight w:val="0"/>
      <w:marTop w:val="0"/>
      <w:marBottom w:val="0"/>
      <w:divBdr>
        <w:top w:val="none" w:sz="0" w:space="0" w:color="auto"/>
        <w:left w:val="none" w:sz="0" w:space="0" w:color="auto"/>
        <w:bottom w:val="none" w:sz="0" w:space="0" w:color="auto"/>
        <w:right w:val="none" w:sz="0" w:space="0" w:color="auto"/>
      </w:divBdr>
    </w:div>
    <w:div w:id="57559822">
      <w:bodyDiv w:val="1"/>
      <w:marLeft w:val="0"/>
      <w:marRight w:val="0"/>
      <w:marTop w:val="0"/>
      <w:marBottom w:val="0"/>
      <w:divBdr>
        <w:top w:val="none" w:sz="0" w:space="0" w:color="auto"/>
        <w:left w:val="none" w:sz="0" w:space="0" w:color="auto"/>
        <w:bottom w:val="none" w:sz="0" w:space="0" w:color="auto"/>
        <w:right w:val="none" w:sz="0" w:space="0" w:color="auto"/>
      </w:divBdr>
    </w:div>
    <w:div w:id="71247738">
      <w:bodyDiv w:val="1"/>
      <w:marLeft w:val="0"/>
      <w:marRight w:val="0"/>
      <w:marTop w:val="0"/>
      <w:marBottom w:val="0"/>
      <w:divBdr>
        <w:top w:val="none" w:sz="0" w:space="0" w:color="auto"/>
        <w:left w:val="none" w:sz="0" w:space="0" w:color="auto"/>
        <w:bottom w:val="none" w:sz="0" w:space="0" w:color="auto"/>
        <w:right w:val="none" w:sz="0" w:space="0" w:color="auto"/>
      </w:divBdr>
    </w:div>
    <w:div w:id="107701516">
      <w:bodyDiv w:val="1"/>
      <w:marLeft w:val="0"/>
      <w:marRight w:val="0"/>
      <w:marTop w:val="0"/>
      <w:marBottom w:val="0"/>
      <w:divBdr>
        <w:top w:val="none" w:sz="0" w:space="0" w:color="auto"/>
        <w:left w:val="none" w:sz="0" w:space="0" w:color="auto"/>
        <w:bottom w:val="none" w:sz="0" w:space="0" w:color="auto"/>
        <w:right w:val="none" w:sz="0" w:space="0" w:color="auto"/>
      </w:divBdr>
    </w:div>
    <w:div w:id="117066908">
      <w:bodyDiv w:val="1"/>
      <w:marLeft w:val="0"/>
      <w:marRight w:val="0"/>
      <w:marTop w:val="0"/>
      <w:marBottom w:val="0"/>
      <w:divBdr>
        <w:top w:val="none" w:sz="0" w:space="0" w:color="auto"/>
        <w:left w:val="none" w:sz="0" w:space="0" w:color="auto"/>
        <w:bottom w:val="none" w:sz="0" w:space="0" w:color="auto"/>
        <w:right w:val="none" w:sz="0" w:space="0" w:color="auto"/>
      </w:divBdr>
    </w:div>
    <w:div w:id="129636428">
      <w:bodyDiv w:val="1"/>
      <w:marLeft w:val="0"/>
      <w:marRight w:val="0"/>
      <w:marTop w:val="0"/>
      <w:marBottom w:val="0"/>
      <w:divBdr>
        <w:top w:val="none" w:sz="0" w:space="0" w:color="auto"/>
        <w:left w:val="none" w:sz="0" w:space="0" w:color="auto"/>
        <w:bottom w:val="none" w:sz="0" w:space="0" w:color="auto"/>
        <w:right w:val="none" w:sz="0" w:space="0" w:color="auto"/>
      </w:divBdr>
    </w:div>
    <w:div w:id="134612791">
      <w:bodyDiv w:val="1"/>
      <w:marLeft w:val="0"/>
      <w:marRight w:val="0"/>
      <w:marTop w:val="0"/>
      <w:marBottom w:val="0"/>
      <w:divBdr>
        <w:top w:val="none" w:sz="0" w:space="0" w:color="auto"/>
        <w:left w:val="none" w:sz="0" w:space="0" w:color="auto"/>
        <w:bottom w:val="none" w:sz="0" w:space="0" w:color="auto"/>
        <w:right w:val="none" w:sz="0" w:space="0" w:color="auto"/>
      </w:divBdr>
    </w:div>
    <w:div w:id="157815336">
      <w:bodyDiv w:val="1"/>
      <w:marLeft w:val="0"/>
      <w:marRight w:val="0"/>
      <w:marTop w:val="0"/>
      <w:marBottom w:val="0"/>
      <w:divBdr>
        <w:top w:val="none" w:sz="0" w:space="0" w:color="auto"/>
        <w:left w:val="none" w:sz="0" w:space="0" w:color="auto"/>
        <w:bottom w:val="none" w:sz="0" w:space="0" w:color="auto"/>
        <w:right w:val="none" w:sz="0" w:space="0" w:color="auto"/>
      </w:divBdr>
    </w:div>
    <w:div w:id="238255679">
      <w:bodyDiv w:val="1"/>
      <w:marLeft w:val="0"/>
      <w:marRight w:val="0"/>
      <w:marTop w:val="0"/>
      <w:marBottom w:val="0"/>
      <w:divBdr>
        <w:top w:val="none" w:sz="0" w:space="0" w:color="auto"/>
        <w:left w:val="none" w:sz="0" w:space="0" w:color="auto"/>
        <w:bottom w:val="none" w:sz="0" w:space="0" w:color="auto"/>
        <w:right w:val="none" w:sz="0" w:space="0" w:color="auto"/>
      </w:divBdr>
    </w:div>
    <w:div w:id="248854999">
      <w:bodyDiv w:val="1"/>
      <w:marLeft w:val="0"/>
      <w:marRight w:val="0"/>
      <w:marTop w:val="0"/>
      <w:marBottom w:val="0"/>
      <w:divBdr>
        <w:top w:val="none" w:sz="0" w:space="0" w:color="auto"/>
        <w:left w:val="none" w:sz="0" w:space="0" w:color="auto"/>
        <w:bottom w:val="none" w:sz="0" w:space="0" w:color="auto"/>
        <w:right w:val="none" w:sz="0" w:space="0" w:color="auto"/>
      </w:divBdr>
    </w:div>
    <w:div w:id="328752582">
      <w:bodyDiv w:val="1"/>
      <w:marLeft w:val="0"/>
      <w:marRight w:val="0"/>
      <w:marTop w:val="0"/>
      <w:marBottom w:val="0"/>
      <w:divBdr>
        <w:top w:val="none" w:sz="0" w:space="0" w:color="auto"/>
        <w:left w:val="none" w:sz="0" w:space="0" w:color="auto"/>
        <w:bottom w:val="none" w:sz="0" w:space="0" w:color="auto"/>
        <w:right w:val="none" w:sz="0" w:space="0" w:color="auto"/>
      </w:divBdr>
    </w:div>
    <w:div w:id="335377576">
      <w:bodyDiv w:val="1"/>
      <w:marLeft w:val="0"/>
      <w:marRight w:val="0"/>
      <w:marTop w:val="0"/>
      <w:marBottom w:val="0"/>
      <w:divBdr>
        <w:top w:val="none" w:sz="0" w:space="0" w:color="auto"/>
        <w:left w:val="none" w:sz="0" w:space="0" w:color="auto"/>
        <w:bottom w:val="none" w:sz="0" w:space="0" w:color="auto"/>
        <w:right w:val="none" w:sz="0" w:space="0" w:color="auto"/>
      </w:divBdr>
    </w:div>
    <w:div w:id="358244050">
      <w:bodyDiv w:val="1"/>
      <w:marLeft w:val="0"/>
      <w:marRight w:val="0"/>
      <w:marTop w:val="0"/>
      <w:marBottom w:val="0"/>
      <w:divBdr>
        <w:top w:val="none" w:sz="0" w:space="0" w:color="auto"/>
        <w:left w:val="none" w:sz="0" w:space="0" w:color="auto"/>
        <w:bottom w:val="none" w:sz="0" w:space="0" w:color="auto"/>
        <w:right w:val="none" w:sz="0" w:space="0" w:color="auto"/>
      </w:divBdr>
    </w:div>
    <w:div w:id="360666031">
      <w:bodyDiv w:val="1"/>
      <w:marLeft w:val="0"/>
      <w:marRight w:val="0"/>
      <w:marTop w:val="0"/>
      <w:marBottom w:val="0"/>
      <w:divBdr>
        <w:top w:val="none" w:sz="0" w:space="0" w:color="auto"/>
        <w:left w:val="none" w:sz="0" w:space="0" w:color="auto"/>
        <w:bottom w:val="none" w:sz="0" w:space="0" w:color="auto"/>
        <w:right w:val="none" w:sz="0" w:space="0" w:color="auto"/>
      </w:divBdr>
    </w:div>
    <w:div w:id="381489865">
      <w:bodyDiv w:val="1"/>
      <w:marLeft w:val="0"/>
      <w:marRight w:val="0"/>
      <w:marTop w:val="0"/>
      <w:marBottom w:val="0"/>
      <w:divBdr>
        <w:top w:val="none" w:sz="0" w:space="0" w:color="auto"/>
        <w:left w:val="none" w:sz="0" w:space="0" w:color="auto"/>
        <w:bottom w:val="none" w:sz="0" w:space="0" w:color="auto"/>
        <w:right w:val="none" w:sz="0" w:space="0" w:color="auto"/>
      </w:divBdr>
    </w:div>
    <w:div w:id="399444620">
      <w:bodyDiv w:val="1"/>
      <w:marLeft w:val="0"/>
      <w:marRight w:val="0"/>
      <w:marTop w:val="0"/>
      <w:marBottom w:val="0"/>
      <w:divBdr>
        <w:top w:val="none" w:sz="0" w:space="0" w:color="auto"/>
        <w:left w:val="none" w:sz="0" w:space="0" w:color="auto"/>
        <w:bottom w:val="none" w:sz="0" w:space="0" w:color="auto"/>
        <w:right w:val="none" w:sz="0" w:space="0" w:color="auto"/>
      </w:divBdr>
    </w:div>
    <w:div w:id="451829675">
      <w:bodyDiv w:val="1"/>
      <w:marLeft w:val="0"/>
      <w:marRight w:val="0"/>
      <w:marTop w:val="0"/>
      <w:marBottom w:val="0"/>
      <w:divBdr>
        <w:top w:val="none" w:sz="0" w:space="0" w:color="auto"/>
        <w:left w:val="none" w:sz="0" w:space="0" w:color="auto"/>
        <w:bottom w:val="none" w:sz="0" w:space="0" w:color="auto"/>
        <w:right w:val="none" w:sz="0" w:space="0" w:color="auto"/>
      </w:divBdr>
    </w:div>
    <w:div w:id="511723452">
      <w:bodyDiv w:val="1"/>
      <w:marLeft w:val="0"/>
      <w:marRight w:val="0"/>
      <w:marTop w:val="0"/>
      <w:marBottom w:val="0"/>
      <w:divBdr>
        <w:top w:val="none" w:sz="0" w:space="0" w:color="auto"/>
        <w:left w:val="none" w:sz="0" w:space="0" w:color="auto"/>
        <w:bottom w:val="none" w:sz="0" w:space="0" w:color="auto"/>
        <w:right w:val="none" w:sz="0" w:space="0" w:color="auto"/>
      </w:divBdr>
    </w:div>
    <w:div w:id="522287296">
      <w:bodyDiv w:val="1"/>
      <w:marLeft w:val="0"/>
      <w:marRight w:val="0"/>
      <w:marTop w:val="0"/>
      <w:marBottom w:val="0"/>
      <w:divBdr>
        <w:top w:val="none" w:sz="0" w:space="0" w:color="auto"/>
        <w:left w:val="none" w:sz="0" w:space="0" w:color="auto"/>
        <w:bottom w:val="none" w:sz="0" w:space="0" w:color="auto"/>
        <w:right w:val="none" w:sz="0" w:space="0" w:color="auto"/>
      </w:divBdr>
    </w:div>
    <w:div w:id="524027684">
      <w:bodyDiv w:val="1"/>
      <w:marLeft w:val="0"/>
      <w:marRight w:val="0"/>
      <w:marTop w:val="0"/>
      <w:marBottom w:val="0"/>
      <w:divBdr>
        <w:top w:val="none" w:sz="0" w:space="0" w:color="auto"/>
        <w:left w:val="none" w:sz="0" w:space="0" w:color="auto"/>
        <w:bottom w:val="none" w:sz="0" w:space="0" w:color="auto"/>
        <w:right w:val="none" w:sz="0" w:space="0" w:color="auto"/>
      </w:divBdr>
    </w:div>
    <w:div w:id="529951481">
      <w:bodyDiv w:val="1"/>
      <w:marLeft w:val="0"/>
      <w:marRight w:val="0"/>
      <w:marTop w:val="0"/>
      <w:marBottom w:val="0"/>
      <w:divBdr>
        <w:top w:val="none" w:sz="0" w:space="0" w:color="auto"/>
        <w:left w:val="none" w:sz="0" w:space="0" w:color="auto"/>
        <w:bottom w:val="none" w:sz="0" w:space="0" w:color="auto"/>
        <w:right w:val="none" w:sz="0" w:space="0" w:color="auto"/>
      </w:divBdr>
    </w:div>
    <w:div w:id="558172527">
      <w:bodyDiv w:val="1"/>
      <w:marLeft w:val="0"/>
      <w:marRight w:val="0"/>
      <w:marTop w:val="0"/>
      <w:marBottom w:val="0"/>
      <w:divBdr>
        <w:top w:val="none" w:sz="0" w:space="0" w:color="auto"/>
        <w:left w:val="none" w:sz="0" w:space="0" w:color="auto"/>
        <w:bottom w:val="none" w:sz="0" w:space="0" w:color="auto"/>
        <w:right w:val="none" w:sz="0" w:space="0" w:color="auto"/>
      </w:divBdr>
    </w:div>
    <w:div w:id="560989289">
      <w:bodyDiv w:val="1"/>
      <w:marLeft w:val="0"/>
      <w:marRight w:val="0"/>
      <w:marTop w:val="0"/>
      <w:marBottom w:val="0"/>
      <w:divBdr>
        <w:top w:val="none" w:sz="0" w:space="0" w:color="auto"/>
        <w:left w:val="none" w:sz="0" w:space="0" w:color="auto"/>
        <w:bottom w:val="none" w:sz="0" w:space="0" w:color="auto"/>
        <w:right w:val="none" w:sz="0" w:space="0" w:color="auto"/>
      </w:divBdr>
    </w:div>
    <w:div w:id="602148236">
      <w:bodyDiv w:val="1"/>
      <w:marLeft w:val="0"/>
      <w:marRight w:val="0"/>
      <w:marTop w:val="0"/>
      <w:marBottom w:val="0"/>
      <w:divBdr>
        <w:top w:val="none" w:sz="0" w:space="0" w:color="auto"/>
        <w:left w:val="none" w:sz="0" w:space="0" w:color="auto"/>
        <w:bottom w:val="none" w:sz="0" w:space="0" w:color="auto"/>
        <w:right w:val="none" w:sz="0" w:space="0" w:color="auto"/>
      </w:divBdr>
    </w:div>
    <w:div w:id="621687963">
      <w:bodyDiv w:val="1"/>
      <w:marLeft w:val="0"/>
      <w:marRight w:val="0"/>
      <w:marTop w:val="0"/>
      <w:marBottom w:val="0"/>
      <w:divBdr>
        <w:top w:val="none" w:sz="0" w:space="0" w:color="auto"/>
        <w:left w:val="none" w:sz="0" w:space="0" w:color="auto"/>
        <w:bottom w:val="none" w:sz="0" w:space="0" w:color="auto"/>
        <w:right w:val="none" w:sz="0" w:space="0" w:color="auto"/>
      </w:divBdr>
    </w:div>
    <w:div w:id="637959095">
      <w:bodyDiv w:val="1"/>
      <w:marLeft w:val="0"/>
      <w:marRight w:val="0"/>
      <w:marTop w:val="0"/>
      <w:marBottom w:val="0"/>
      <w:divBdr>
        <w:top w:val="none" w:sz="0" w:space="0" w:color="auto"/>
        <w:left w:val="none" w:sz="0" w:space="0" w:color="auto"/>
        <w:bottom w:val="none" w:sz="0" w:space="0" w:color="auto"/>
        <w:right w:val="none" w:sz="0" w:space="0" w:color="auto"/>
      </w:divBdr>
    </w:div>
    <w:div w:id="662658790">
      <w:bodyDiv w:val="1"/>
      <w:marLeft w:val="0"/>
      <w:marRight w:val="0"/>
      <w:marTop w:val="0"/>
      <w:marBottom w:val="0"/>
      <w:divBdr>
        <w:top w:val="none" w:sz="0" w:space="0" w:color="auto"/>
        <w:left w:val="none" w:sz="0" w:space="0" w:color="auto"/>
        <w:bottom w:val="none" w:sz="0" w:space="0" w:color="auto"/>
        <w:right w:val="none" w:sz="0" w:space="0" w:color="auto"/>
      </w:divBdr>
    </w:div>
    <w:div w:id="743575733">
      <w:bodyDiv w:val="1"/>
      <w:marLeft w:val="0"/>
      <w:marRight w:val="0"/>
      <w:marTop w:val="0"/>
      <w:marBottom w:val="0"/>
      <w:divBdr>
        <w:top w:val="none" w:sz="0" w:space="0" w:color="auto"/>
        <w:left w:val="none" w:sz="0" w:space="0" w:color="auto"/>
        <w:bottom w:val="none" w:sz="0" w:space="0" w:color="auto"/>
        <w:right w:val="none" w:sz="0" w:space="0" w:color="auto"/>
      </w:divBdr>
    </w:div>
    <w:div w:id="764881682">
      <w:bodyDiv w:val="1"/>
      <w:marLeft w:val="0"/>
      <w:marRight w:val="0"/>
      <w:marTop w:val="0"/>
      <w:marBottom w:val="0"/>
      <w:divBdr>
        <w:top w:val="none" w:sz="0" w:space="0" w:color="auto"/>
        <w:left w:val="none" w:sz="0" w:space="0" w:color="auto"/>
        <w:bottom w:val="none" w:sz="0" w:space="0" w:color="auto"/>
        <w:right w:val="none" w:sz="0" w:space="0" w:color="auto"/>
      </w:divBdr>
    </w:div>
    <w:div w:id="775714443">
      <w:bodyDiv w:val="1"/>
      <w:marLeft w:val="0"/>
      <w:marRight w:val="0"/>
      <w:marTop w:val="0"/>
      <w:marBottom w:val="0"/>
      <w:divBdr>
        <w:top w:val="none" w:sz="0" w:space="0" w:color="auto"/>
        <w:left w:val="none" w:sz="0" w:space="0" w:color="auto"/>
        <w:bottom w:val="none" w:sz="0" w:space="0" w:color="auto"/>
        <w:right w:val="none" w:sz="0" w:space="0" w:color="auto"/>
      </w:divBdr>
    </w:div>
    <w:div w:id="793402608">
      <w:bodyDiv w:val="1"/>
      <w:marLeft w:val="0"/>
      <w:marRight w:val="0"/>
      <w:marTop w:val="0"/>
      <w:marBottom w:val="0"/>
      <w:divBdr>
        <w:top w:val="none" w:sz="0" w:space="0" w:color="auto"/>
        <w:left w:val="none" w:sz="0" w:space="0" w:color="auto"/>
        <w:bottom w:val="none" w:sz="0" w:space="0" w:color="auto"/>
        <w:right w:val="none" w:sz="0" w:space="0" w:color="auto"/>
      </w:divBdr>
    </w:div>
    <w:div w:id="823930064">
      <w:bodyDiv w:val="1"/>
      <w:marLeft w:val="0"/>
      <w:marRight w:val="0"/>
      <w:marTop w:val="0"/>
      <w:marBottom w:val="0"/>
      <w:divBdr>
        <w:top w:val="none" w:sz="0" w:space="0" w:color="auto"/>
        <w:left w:val="none" w:sz="0" w:space="0" w:color="auto"/>
        <w:bottom w:val="none" w:sz="0" w:space="0" w:color="auto"/>
        <w:right w:val="none" w:sz="0" w:space="0" w:color="auto"/>
      </w:divBdr>
    </w:div>
    <w:div w:id="879977438">
      <w:bodyDiv w:val="1"/>
      <w:marLeft w:val="0"/>
      <w:marRight w:val="0"/>
      <w:marTop w:val="0"/>
      <w:marBottom w:val="0"/>
      <w:divBdr>
        <w:top w:val="none" w:sz="0" w:space="0" w:color="auto"/>
        <w:left w:val="none" w:sz="0" w:space="0" w:color="auto"/>
        <w:bottom w:val="none" w:sz="0" w:space="0" w:color="auto"/>
        <w:right w:val="none" w:sz="0" w:space="0" w:color="auto"/>
      </w:divBdr>
    </w:div>
    <w:div w:id="901477597">
      <w:bodyDiv w:val="1"/>
      <w:marLeft w:val="0"/>
      <w:marRight w:val="0"/>
      <w:marTop w:val="0"/>
      <w:marBottom w:val="0"/>
      <w:divBdr>
        <w:top w:val="none" w:sz="0" w:space="0" w:color="auto"/>
        <w:left w:val="none" w:sz="0" w:space="0" w:color="auto"/>
        <w:bottom w:val="none" w:sz="0" w:space="0" w:color="auto"/>
        <w:right w:val="none" w:sz="0" w:space="0" w:color="auto"/>
      </w:divBdr>
    </w:div>
    <w:div w:id="945502205">
      <w:bodyDiv w:val="1"/>
      <w:marLeft w:val="0"/>
      <w:marRight w:val="0"/>
      <w:marTop w:val="0"/>
      <w:marBottom w:val="0"/>
      <w:divBdr>
        <w:top w:val="none" w:sz="0" w:space="0" w:color="auto"/>
        <w:left w:val="none" w:sz="0" w:space="0" w:color="auto"/>
        <w:bottom w:val="none" w:sz="0" w:space="0" w:color="auto"/>
        <w:right w:val="none" w:sz="0" w:space="0" w:color="auto"/>
      </w:divBdr>
    </w:div>
    <w:div w:id="978269301">
      <w:bodyDiv w:val="1"/>
      <w:marLeft w:val="0"/>
      <w:marRight w:val="0"/>
      <w:marTop w:val="0"/>
      <w:marBottom w:val="0"/>
      <w:divBdr>
        <w:top w:val="none" w:sz="0" w:space="0" w:color="auto"/>
        <w:left w:val="none" w:sz="0" w:space="0" w:color="auto"/>
        <w:bottom w:val="none" w:sz="0" w:space="0" w:color="auto"/>
        <w:right w:val="none" w:sz="0" w:space="0" w:color="auto"/>
      </w:divBdr>
    </w:div>
    <w:div w:id="999503529">
      <w:bodyDiv w:val="1"/>
      <w:marLeft w:val="0"/>
      <w:marRight w:val="0"/>
      <w:marTop w:val="0"/>
      <w:marBottom w:val="0"/>
      <w:divBdr>
        <w:top w:val="none" w:sz="0" w:space="0" w:color="auto"/>
        <w:left w:val="none" w:sz="0" w:space="0" w:color="auto"/>
        <w:bottom w:val="none" w:sz="0" w:space="0" w:color="auto"/>
        <w:right w:val="none" w:sz="0" w:space="0" w:color="auto"/>
      </w:divBdr>
    </w:div>
    <w:div w:id="1011837317">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18771077">
      <w:bodyDiv w:val="1"/>
      <w:marLeft w:val="0"/>
      <w:marRight w:val="0"/>
      <w:marTop w:val="0"/>
      <w:marBottom w:val="0"/>
      <w:divBdr>
        <w:top w:val="none" w:sz="0" w:space="0" w:color="auto"/>
        <w:left w:val="none" w:sz="0" w:space="0" w:color="auto"/>
        <w:bottom w:val="none" w:sz="0" w:space="0" w:color="auto"/>
        <w:right w:val="none" w:sz="0" w:space="0" w:color="auto"/>
      </w:divBdr>
    </w:div>
    <w:div w:id="1039743055">
      <w:bodyDiv w:val="1"/>
      <w:marLeft w:val="0"/>
      <w:marRight w:val="0"/>
      <w:marTop w:val="0"/>
      <w:marBottom w:val="0"/>
      <w:divBdr>
        <w:top w:val="none" w:sz="0" w:space="0" w:color="auto"/>
        <w:left w:val="none" w:sz="0" w:space="0" w:color="auto"/>
        <w:bottom w:val="none" w:sz="0" w:space="0" w:color="auto"/>
        <w:right w:val="none" w:sz="0" w:space="0" w:color="auto"/>
      </w:divBdr>
    </w:div>
    <w:div w:id="1064134595">
      <w:bodyDiv w:val="1"/>
      <w:marLeft w:val="0"/>
      <w:marRight w:val="0"/>
      <w:marTop w:val="0"/>
      <w:marBottom w:val="0"/>
      <w:divBdr>
        <w:top w:val="none" w:sz="0" w:space="0" w:color="auto"/>
        <w:left w:val="none" w:sz="0" w:space="0" w:color="auto"/>
        <w:bottom w:val="none" w:sz="0" w:space="0" w:color="auto"/>
        <w:right w:val="none" w:sz="0" w:space="0" w:color="auto"/>
      </w:divBdr>
    </w:div>
    <w:div w:id="1064839521">
      <w:bodyDiv w:val="1"/>
      <w:marLeft w:val="0"/>
      <w:marRight w:val="0"/>
      <w:marTop w:val="0"/>
      <w:marBottom w:val="0"/>
      <w:divBdr>
        <w:top w:val="none" w:sz="0" w:space="0" w:color="auto"/>
        <w:left w:val="none" w:sz="0" w:space="0" w:color="auto"/>
        <w:bottom w:val="none" w:sz="0" w:space="0" w:color="auto"/>
        <w:right w:val="none" w:sz="0" w:space="0" w:color="auto"/>
      </w:divBdr>
    </w:div>
    <w:div w:id="1091392556">
      <w:bodyDiv w:val="1"/>
      <w:marLeft w:val="0"/>
      <w:marRight w:val="0"/>
      <w:marTop w:val="0"/>
      <w:marBottom w:val="0"/>
      <w:divBdr>
        <w:top w:val="none" w:sz="0" w:space="0" w:color="auto"/>
        <w:left w:val="none" w:sz="0" w:space="0" w:color="auto"/>
        <w:bottom w:val="none" w:sz="0" w:space="0" w:color="auto"/>
        <w:right w:val="none" w:sz="0" w:space="0" w:color="auto"/>
      </w:divBdr>
    </w:div>
    <w:div w:id="1097870082">
      <w:bodyDiv w:val="1"/>
      <w:marLeft w:val="0"/>
      <w:marRight w:val="0"/>
      <w:marTop w:val="0"/>
      <w:marBottom w:val="0"/>
      <w:divBdr>
        <w:top w:val="none" w:sz="0" w:space="0" w:color="auto"/>
        <w:left w:val="none" w:sz="0" w:space="0" w:color="auto"/>
        <w:bottom w:val="none" w:sz="0" w:space="0" w:color="auto"/>
        <w:right w:val="none" w:sz="0" w:space="0" w:color="auto"/>
      </w:divBdr>
    </w:div>
    <w:div w:id="1100877234">
      <w:bodyDiv w:val="1"/>
      <w:marLeft w:val="0"/>
      <w:marRight w:val="0"/>
      <w:marTop w:val="0"/>
      <w:marBottom w:val="0"/>
      <w:divBdr>
        <w:top w:val="none" w:sz="0" w:space="0" w:color="auto"/>
        <w:left w:val="none" w:sz="0" w:space="0" w:color="auto"/>
        <w:bottom w:val="none" w:sz="0" w:space="0" w:color="auto"/>
        <w:right w:val="none" w:sz="0" w:space="0" w:color="auto"/>
      </w:divBdr>
    </w:div>
    <w:div w:id="1115442795">
      <w:bodyDiv w:val="1"/>
      <w:marLeft w:val="0"/>
      <w:marRight w:val="0"/>
      <w:marTop w:val="0"/>
      <w:marBottom w:val="0"/>
      <w:divBdr>
        <w:top w:val="none" w:sz="0" w:space="0" w:color="auto"/>
        <w:left w:val="none" w:sz="0" w:space="0" w:color="auto"/>
        <w:bottom w:val="none" w:sz="0" w:space="0" w:color="auto"/>
        <w:right w:val="none" w:sz="0" w:space="0" w:color="auto"/>
      </w:divBdr>
    </w:div>
    <w:div w:id="1116101926">
      <w:bodyDiv w:val="1"/>
      <w:marLeft w:val="0"/>
      <w:marRight w:val="0"/>
      <w:marTop w:val="0"/>
      <w:marBottom w:val="0"/>
      <w:divBdr>
        <w:top w:val="none" w:sz="0" w:space="0" w:color="auto"/>
        <w:left w:val="none" w:sz="0" w:space="0" w:color="auto"/>
        <w:bottom w:val="none" w:sz="0" w:space="0" w:color="auto"/>
        <w:right w:val="none" w:sz="0" w:space="0" w:color="auto"/>
      </w:divBdr>
    </w:div>
    <w:div w:id="1134064078">
      <w:bodyDiv w:val="1"/>
      <w:marLeft w:val="0"/>
      <w:marRight w:val="0"/>
      <w:marTop w:val="0"/>
      <w:marBottom w:val="0"/>
      <w:divBdr>
        <w:top w:val="none" w:sz="0" w:space="0" w:color="auto"/>
        <w:left w:val="none" w:sz="0" w:space="0" w:color="auto"/>
        <w:bottom w:val="none" w:sz="0" w:space="0" w:color="auto"/>
        <w:right w:val="none" w:sz="0" w:space="0" w:color="auto"/>
      </w:divBdr>
    </w:div>
    <w:div w:id="1142650665">
      <w:bodyDiv w:val="1"/>
      <w:marLeft w:val="0"/>
      <w:marRight w:val="0"/>
      <w:marTop w:val="0"/>
      <w:marBottom w:val="0"/>
      <w:divBdr>
        <w:top w:val="none" w:sz="0" w:space="0" w:color="auto"/>
        <w:left w:val="none" w:sz="0" w:space="0" w:color="auto"/>
        <w:bottom w:val="none" w:sz="0" w:space="0" w:color="auto"/>
        <w:right w:val="none" w:sz="0" w:space="0" w:color="auto"/>
      </w:divBdr>
    </w:div>
    <w:div w:id="1148668381">
      <w:bodyDiv w:val="1"/>
      <w:marLeft w:val="0"/>
      <w:marRight w:val="0"/>
      <w:marTop w:val="0"/>
      <w:marBottom w:val="0"/>
      <w:divBdr>
        <w:top w:val="none" w:sz="0" w:space="0" w:color="auto"/>
        <w:left w:val="none" w:sz="0" w:space="0" w:color="auto"/>
        <w:bottom w:val="none" w:sz="0" w:space="0" w:color="auto"/>
        <w:right w:val="none" w:sz="0" w:space="0" w:color="auto"/>
      </w:divBdr>
    </w:div>
    <w:div w:id="1167210275">
      <w:bodyDiv w:val="1"/>
      <w:marLeft w:val="0"/>
      <w:marRight w:val="0"/>
      <w:marTop w:val="0"/>
      <w:marBottom w:val="0"/>
      <w:divBdr>
        <w:top w:val="none" w:sz="0" w:space="0" w:color="auto"/>
        <w:left w:val="none" w:sz="0" w:space="0" w:color="auto"/>
        <w:bottom w:val="none" w:sz="0" w:space="0" w:color="auto"/>
        <w:right w:val="none" w:sz="0" w:space="0" w:color="auto"/>
      </w:divBdr>
    </w:div>
    <w:div w:id="1200896692">
      <w:bodyDiv w:val="1"/>
      <w:marLeft w:val="0"/>
      <w:marRight w:val="0"/>
      <w:marTop w:val="0"/>
      <w:marBottom w:val="0"/>
      <w:divBdr>
        <w:top w:val="none" w:sz="0" w:space="0" w:color="auto"/>
        <w:left w:val="none" w:sz="0" w:space="0" w:color="auto"/>
        <w:bottom w:val="none" w:sz="0" w:space="0" w:color="auto"/>
        <w:right w:val="none" w:sz="0" w:space="0" w:color="auto"/>
      </w:divBdr>
    </w:div>
    <w:div w:id="1244411621">
      <w:bodyDiv w:val="1"/>
      <w:marLeft w:val="0"/>
      <w:marRight w:val="0"/>
      <w:marTop w:val="0"/>
      <w:marBottom w:val="0"/>
      <w:divBdr>
        <w:top w:val="none" w:sz="0" w:space="0" w:color="auto"/>
        <w:left w:val="none" w:sz="0" w:space="0" w:color="auto"/>
        <w:bottom w:val="none" w:sz="0" w:space="0" w:color="auto"/>
        <w:right w:val="none" w:sz="0" w:space="0" w:color="auto"/>
      </w:divBdr>
    </w:div>
    <w:div w:id="1251042054">
      <w:bodyDiv w:val="1"/>
      <w:marLeft w:val="0"/>
      <w:marRight w:val="0"/>
      <w:marTop w:val="0"/>
      <w:marBottom w:val="0"/>
      <w:divBdr>
        <w:top w:val="none" w:sz="0" w:space="0" w:color="auto"/>
        <w:left w:val="none" w:sz="0" w:space="0" w:color="auto"/>
        <w:bottom w:val="none" w:sz="0" w:space="0" w:color="auto"/>
        <w:right w:val="none" w:sz="0" w:space="0" w:color="auto"/>
      </w:divBdr>
    </w:div>
    <w:div w:id="1259093308">
      <w:bodyDiv w:val="1"/>
      <w:marLeft w:val="0"/>
      <w:marRight w:val="0"/>
      <w:marTop w:val="0"/>
      <w:marBottom w:val="0"/>
      <w:divBdr>
        <w:top w:val="none" w:sz="0" w:space="0" w:color="auto"/>
        <w:left w:val="none" w:sz="0" w:space="0" w:color="auto"/>
        <w:bottom w:val="none" w:sz="0" w:space="0" w:color="auto"/>
        <w:right w:val="none" w:sz="0" w:space="0" w:color="auto"/>
      </w:divBdr>
    </w:div>
    <w:div w:id="1292830414">
      <w:bodyDiv w:val="1"/>
      <w:marLeft w:val="0"/>
      <w:marRight w:val="0"/>
      <w:marTop w:val="0"/>
      <w:marBottom w:val="0"/>
      <w:divBdr>
        <w:top w:val="none" w:sz="0" w:space="0" w:color="auto"/>
        <w:left w:val="none" w:sz="0" w:space="0" w:color="auto"/>
        <w:bottom w:val="none" w:sz="0" w:space="0" w:color="auto"/>
        <w:right w:val="none" w:sz="0" w:space="0" w:color="auto"/>
      </w:divBdr>
    </w:div>
    <w:div w:id="1305037643">
      <w:bodyDiv w:val="1"/>
      <w:marLeft w:val="0"/>
      <w:marRight w:val="0"/>
      <w:marTop w:val="0"/>
      <w:marBottom w:val="0"/>
      <w:divBdr>
        <w:top w:val="none" w:sz="0" w:space="0" w:color="auto"/>
        <w:left w:val="none" w:sz="0" w:space="0" w:color="auto"/>
        <w:bottom w:val="none" w:sz="0" w:space="0" w:color="auto"/>
        <w:right w:val="none" w:sz="0" w:space="0" w:color="auto"/>
      </w:divBdr>
    </w:div>
    <w:div w:id="1321419223">
      <w:bodyDiv w:val="1"/>
      <w:marLeft w:val="0"/>
      <w:marRight w:val="0"/>
      <w:marTop w:val="0"/>
      <w:marBottom w:val="0"/>
      <w:divBdr>
        <w:top w:val="none" w:sz="0" w:space="0" w:color="auto"/>
        <w:left w:val="none" w:sz="0" w:space="0" w:color="auto"/>
        <w:bottom w:val="none" w:sz="0" w:space="0" w:color="auto"/>
        <w:right w:val="none" w:sz="0" w:space="0" w:color="auto"/>
      </w:divBdr>
    </w:div>
    <w:div w:id="1322079950">
      <w:bodyDiv w:val="1"/>
      <w:marLeft w:val="0"/>
      <w:marRight w:val="0"/>
      <w:marTop w:val="0"/>
      <w:marBottom w:val="0"/>
      <w:divBdr>
        <w:top w:val="none" w:sz="0" w:space="0" w:color="auto"/>
        <w:left w:val="none" w:sz="0" w:space="0" w:color="auto"/>
        <w:bottom w:val="none" w:sz="0" w:space="0" w:color="auto"/>
        <w:right w:val="none" w:sz="0" w:space="0" w:color="auto"/>
      </w:divBdr>
    </w:div>
    <w:div w:id="1334915982">
      <w:bodyDiv w:val="1"/>
      <w:marLeft w:val="0"/>
      <w:marRight w:val="0"/>
      <w:marTop w:val="0"/>
      <w:marBottom w:val="0"/>
      <w:divBdr>
        <w:top w:val="none" w:sz="0" w:space="0" w:color="auto"/>
        <w:left w:val="none" w:sz="0" w:space="0" w:color="auto"/>
        <w:bottom w:val="none" w:sz="0" w:space="0" w:color="auto"/>
        <w:right w:val="none" w:sz="0" w:space="0" w:color="auto"/>
      </w:divBdr>
    </w:div>
    <w:div w:id="1381593519">
      <w:bodyDiv w:val="1"/>
      <w:marLeft w:val="0"/>
      <w:marRight w:val="0"/>
      <w:marTop w:val="0"/>
      <w:marBottom w:val="0"/>
      <w:divBdr>
        <w:top w:val="none" w:sz="0" w:space="0" w:color="auto"/>
        <w:left w:val="none" w:sz="0" w:space="0" w:color="auto"/>
        <w:bottom w:val="none" w:sz="0" w:space="0" w:color="auto"/>
        <w:right w:val="none" w:sz="0" w:space="0" w:color="auto"/>
      </w:divBdr>
    </w:div>
    <w:div w:id="1426654154">
      <w:bodyDiv w:val="1"/>
      <w:marLeft w:val="0"/>
      <w:marRight w:val="0"/>
      <w:marTop w:val="0"/>
      <w:marBottom w:val="0"/>
      <w:divBdr>
        <w:top w:val="none" w:sz="0" w:space="0" w:color="auto"/>
        <w:left w:val="none" w:sz="0" w:space="0" w:color="auto"/>
        <w:bottom w:val="none" w:sz="0" w:space="0" w:color="auto"/>
        <w:right w:val="none" w:sz="0" w:space="0" w:color="auto"/>
      </w:divBdr>
    </w:div>
    <w:div w:id="1460420052">
      <w:bodyDiv w:val="1"/>
      <w:marLeft w:val="0"/>
      <w:marRight w:val="0"/>
      <w:marTop w:val="0"/>
      <w:marBottom w:val="0"/>
      <w:divBdr>
        <w:top w:val="none" w:sz="0" w:space="0" w:color="auto"/>
        <w:left w:val="none" w:sz="0" w:space="0" w:color="auto"/>
        <w:bottom w:val="none" w:sz="0" w:space="0" w:color="auto"/>
        <w:right w:val="none" w:sz="0" w:space="0" w:color="auto"/>
      </w:divBdr>
    </w:div>
    <w:div w:id="1489059653">
      <w:bodyDiv w:val="1"/>
      <w:marLeft w:val="0"/>
      <w:marRight w:val="0"/>
      <w:marTop w:val="0"/>
      <w:marBottom w:val="0"/>
      <w:divBdr>
        <w:top w:val="none" w:sz="0" w:space="0" w:color="auto"/>
        <w:left w:val="none" w:sz="0" w:space="0" w:color="auto"/>
        <w:bottom w:val="none" w:sz="0" w:space="0" w:color="auto"/>
        <w:right w:val="none" w:sz="0" w:space="0" w:color="auto"/>
      </w:divBdr>
    </w:div>
    <w:div w:id="1489318921">
      <w:bodyDiv w:val="1"/>
      <w:marLeft w:val="0"/>
      <w:marRight w:val="0"/>
      <w:marTop w:val="0"/>
      <w:marBottom w:val="0"/>
      <w:divBdr>
        <w:top w:val="none" w:sz="0" w:space="0" w:color="auto"/>
        <w:left w:val="none" w:sz="0" w:space="0" w:color="auto"/>
        <w:bottom w:val="none" w:sz="0" w:space="0" w:color="auto"/>
        <w:right w:val="none" w:sz="0" w:space="0" w:color="auto"/>
      </w:divBdr>
    </w:div>
    <w:div w:id="1491482852">
      <w:bodyDiv w:val="1"/>
      <w:marLeft w:val="0"/>
      <w:marRight w:val="0"/>
      <w:marTop w:val="0"/>
      <w:marBottom w:val="0"/>
      <w:divBdr>
        <w:top w:val="none" w:sz="0" w:space="0" w:color="auto"/>
        <w:left w:val="none" w:sz="0" w:space="0" w:color="auto"/>
        <w:bottom w:val="none" w:sz="0" w:space="0" w:color="auto"/>
        <w:right w:val="none" w:sz="0" w:space="0" w:color="auto"/>
      </w:divBdr>
    </w:div>
    <w:div w:id="1492679806">
      <w:bodyDiv w:val="1"/>
      <w:marLeft w:val="0"/>
      <w:marRight w:val="0"/>
      <w:marTop w:val="0"/>
      <w:marBottom w:val="0"/>
      <w:divBdr>
        <w:top w:val="none" w:sz="0" w:space="0" w:color="auto"/>
        <w:left w:val="none" w:sz="0" w:space="0" w:color="auto"/>
        <w:bottom w:val="none" w:sz="0" w:space="0" w:color="auto"/>
        <w:right w:val="none" w:sz="0" w:space="0" w:color="auto"/>
      </w:divBdr>
    </w:div>
    <w:div w:id="1510414247">
      <w:bodyDiv w:val="1"/>
      <w:marLeft w:val="0"/>
      <w:marRight w:val="0"/>
      <w:marTop w:val="0"/>
      <w:marBottom w:val="0"/>
      <w:divBdr>
        <w:top w:val="none" w:sz="0" w:space="0" w:color="auto"/>
        <w:left w:val="none" w:sz="0" w:space="0" w:color="auto"/>
        <w:bottom w:val="none" w:sz="0" w:space="0" w:color="auto"/>
        <w:right w:val="none" w:sz="0" w:space="0" w:color="auto"/>
      </w:divBdr>
    </w:div>
    <w:div w:id="1515416000">
      <w:bodyDiv w:val="1"/>
      <w:marLeft w:val="0"/>
      <w:marRight w:val="0"/>
      <w:marTop w:val="0"/>
      <w:marBottom w:val="0"/>
      <w:divBdr>
        <w:top w:val="none" w:sz="0" w:space="0" w:color="auto"/>
        <w:left w:val="none" w:sz="0" w:space="0" w:color="auto"/>
        <w:bottom w:val="none" w:sz="0" w:space="0" w:color="auto"/>
        <w:right w:val="none" w:sz="0" w:space="0" w:color="auto"/>
      </w:divBdr>
    </w:div>
    <w:div w:id="1515606523">
      <w:bodyDiv w:val="1"/>
      <w:marLeft w:val="0"/>
      <w:marRight w:val="0"/>
      <w:marTop w:val="0"/>
      <w:marBottom w:val="0"/>
      <w:divBdr>
        <w:top w:val="none" w:sz="0" w:space="0" w:color="auto"/>
        <w:left w:val="none" w:sz="0" w:space="0" w:color="auto"/>
        <w:bottom w:val="none" w:sz="0" w:space="0" w:color="auto"/>
        <w:right w:val="none" w:sz="0" w:space="0" w:color="auto"/>
      </w:divBdr>
    </w:div>
    <w:div w:id="1527913586">
      <w:bodyDiv w:val="1"/>
      <w:marLeft w:val="0"/>
      <w:marRight w:val="0"/>
      <w:marTop w:val="0"/>
      <w:marBottom w:val="0"/>
      <w:divBdr>
        <w:top w:val="none" w:sz="0" w:space="0" w:color="auto"/>
        <w:left w:val="none" w:sz="0" w:space="0" w:color="auto"/>
        <w:bottom w:val="none" w:sz="0" w:space="0" w:color="auto"/>
        <w:right w:val="none" w:sz="0" w:space="0" w:color="auto"/>
      </w:divBdr>
    </w:div>
    <w:div w:id="1532231779">
      <w:bodyDiv w:val="1"/>
      <w:marLeft w:val="0"/>
      <w:marRight w:val="0"/>
      <w:marTop w:val="0"/>
      <w:marBottom w:val="0"/>
      <w:divBdr>
        <w:top w:val="none" w:sz="0" w:space="0" w:color="auto"/>
        <w:left w:val="none" w:sz="0" w:space="0" w:color="auto"/>
        <w:bottom w:val="none" w:sz="0" w:space="0" w:color="auto"/>
        <w:right w:val="none" w:sz="0" w:space="0" w:color="auto"/>
      </w:divBdr>
    </w:div>
    <w:div w:id="1533421199">
      <w:bodyDiv w:val="1"/>
      <w:marLeft w:val="0"/>
      <w:marRight w:val="0"/>
      <w:marTop w:val="0"/>
      <w:marBottom w:val="0"/>
      <w:divBdr>
        <w:top w:val="none" w:sz="0" w:space="0" w:color="auto"/>
        <w:left w:val="none" w:sz="0" w:space="0" w:color="auto"/>
        <w:bottom w:val="none" w:sz="0" w:space="0" w:color="auto"/>
        <w:right w:val="none" w:sz="0" w:space="0" w:color="auto"/>
      </w:divBdr>
    </w:div>
    <w:div w:id="1544709701">
      <w:bodyDiv w:val="1"/>
      <w:marLeft w:val="0"/>
      <w:marRight w:val="0"/>
      <w:marTop w:val="0"/>
      <w:marBottom w:val="0"/>
      <w:divBdr>
        <w:top w:val="none" w:sz="0" w:space="0" w:color="auto"/>
        <w:left w:val="none" w:sz="0" w:space="0" w:color="auto"/>
        <w:bottom w:val="none" w:sz="0" w:space="0" w:color="auto"/>
        <w:right w:val="none" w:sz="0" w:space="0" w:color="auto"/>
      </w:divBdr>
    </w:div>
    <w:div w:id="1555039374">
      <w:bodyDiv w:val="1"/>
      <w:marLeft w:val="0"/>
      <w:marRight w:val="0"/>
      <w:marTop w:val="0"/>
      <w:marBottom w:val="0"/>
      <w:divBdr>
        <w:top w:val="none" w:sz="0" w:space="0" w:color="auto"/>
        <w:left w:val="none" w:sz="0" w:space="0" w:color="auto"/>
        <w:bottom w:val="none" w:sz="0" w:space="0" w:color="auto"/>
        <w:right w:val="none" w:sz="0" w:space="0" w:color="auto"/>
      </w:divBdr>
    </w:div>
    <w:div w:id="1564876424">
      <w:bodyDiv w:val="1"/>
      <w:marLeft w:val="0"/>
      <w:marRight w:val="0"/>
      <w:marTop w:val="0"/>
      <w:marBottom w:val="0"/>
      <w:divBdr>
        <w:top w:val="none" w:sz="0" w:space="0" w:color="auto"/>
        <w:left w:val="none" w:sz="0" w:space="0" w:color="auto"/>
        <w:bottom w:val="none" w:sz="0" w:space="0" w:color="auto"/>
        <w:right w:val="none" w:sz="0" w:space="0" w:color="auto"/>
      </w:divBdr>
    </w:div>
    <w:div w:id="1601839581">
      <w:bodyDiv w:val="1"/>
      <w:marLeft w:val="0"/>
      <w:marRight w:val="0"/>
      <w:marTop w:val="0"/>
      <w:marBottom w:val="0"/>
      <w:divBdr>
        <w:top w:val="none" w:sz="0" w:space="0" w:color="auto"/>
        <w:left w:val="none" w:sz="0" w:space="0" w:color="auto"/>
        <w:bottom w:val="none" w:sz="0" w:space="0" w:color="auto"/>
        <w:right w:val="none" w:sz="0" w:space="0" w:color="auto"/>
      </w:divBdr>
    </w:div>
    <w:div w:id="1626158570">
      <w:bodyDiv w:val="1"/>
      <w:marLeft w:val="0"/>
      <w:marRight w:val="0"/>
      <w:marTop w:val="0"/>
      <w:marBottom w:val="0"/>
      <w:divBdr>
        <w:top w:val="none" w:sz="0" w:space="0" w:color="auto"/>
        <w:left w:val="none" w:sz="0" w:space="0" w:color="auto"/>
        <w:bottom w:val="none" w:sz="0" w:space="0" w:color="auto"/>
        <w:right w:val="none" w:sz="0" w:space="0" w:color="auto"/>
      </w:divBdr>
    </w:div>
    <w:div w:id="1659193127">
      <w:bodyDiv w:val="1"/>
      <w:marLeft w:val="0"/>
      <w:marRight w:val="0"/>
      <w:marTop w:val="0"/>
      <w:marBottom w:val="0"/>
      <w:divBdr>
        <w:top w:val="none" w:sz="0" w:space="0" w:color="auto"/>
        <w:left w:val="none" w:sz="0" w:space="0" w:color="auto"/>
        <w:bottom w:val="none" w:sz="0" w:space="0" w:color="auto"/>
        <w:right w:val="none" w:sz="0" w:space="0" w:color="auto"/>
      </w:divBdr>
    </w:div>
    <w:div w:id="1680809631">
      <w:bodyDiv w:val="1"/>
      <w:marLeft w:val="0"/>
      <w:marRight w:val="0"/>
      <w:marTop w:val="0"/>
      <w:marBottom w:val="0"/>
      <w:divBdr>
        <w:top w:val="none" w:sz="0" w:space="0" w:color="auto"/>
        <w:left w:val="none" w:sz="0" w:space="0" w:color="auto"/>
        <w:bottom w:val="none" w:sz="0" w:space="0" w:color="auto"/>
        <w:right w:val="none" w:sz="0" w:space="0" w:color="auto"/>
      </w:divBdr>
    </w:div>
    <w:div w:id="1683124865">
      <w:bodyDiv w:val="1"/>
      <w:marLeft w:val="0"/>
      <w:marRight w:val="0"/>
      <w:marTop w:val="0"/>
      <w:marBottom w:val="0"/>
      <w:divBdr>
        <w:top w:val="none" w:sz="0" w:space="0" w:color="auto"/>
        <w:left w:val="none" w:sz="0" w:space="0" w:color="auto"/>
        <w:bottom w:val="none" w:sz="0" w:space="0" w:color="auto"/>
        <w:right w:val="none" w:sz="0" w:space="0" w:color="auto"/>
      </w:divBdr>
    </w:div>
    <w:div w:id="1694528935">
      <w:bodyDiv w:val="1"/>
      <w:marLeft w:val="0"/>
      <w:marRight w:val="0"/>
      <w:marTop w:val="0"/>
      <w:marBottom w:val="0"/>
      <w:divBdr>
        <w:top w:val="none" w:sz="0" w:space="0" w:color="auto"/>
        <w:left w:val="none" w:sz="0" w:space="0" w:color="auto"/>
        <w:bottom w:val="none" w:sz="0" w:space="0" w:color="auto"/>
        <w:right w:val="none" w:sz="0" w:space="0" w:color="auto"/>
      </w:divBdr>
    </w:div>
    <w:div w:id="1710257359">
      <w:bodyDiv w:val="1"/>
      <w:marLeft w:val="0"/>
      <w:marRight w:val="0"/>
      <w:marTop w:val="0"/>
      <w:marBottom w:val="0"/>
      <w:divBdr>
        <w:top w:val="none" w:sz="0" w:space="0" w:color="auto"/>
        <w:left w:val="none" w:sz="0" w:space="0" w:color="auto"/>
        <w:bottom w:val="none" w:sz="0" w:space="0" w:color="auto"/>
        <w:right w:val="none" w:sz="0" w:space="0" w:color="auto"/>
      </w:divBdr>
    </w:div>
    <w:div w:id="1749226202">
      <w:bodyDiv w:val="1"/>
      <w:marLeft w:val="0"/>
      <w:marRight w:val="0"/>
      <w:marTop w:val="0"/>
      <w:marBottom w:val="0"/>
      <w:divBdr>
        <w:top w:val="none" w:sz="0" w:space="0" w:color="auto"/>
        <w:left w:val="none" w:sz="0" w:space="0" w:color="auto"/>
        <w:bottom w:val="none" w:sz="0" w:space="0" w:color="auto"/>
        <w:right w:val="none" w:sz="0" w:space="0" w:color="auto"/>
      </w:divBdr>
    </w:div>
    <w:div w:id="1749880351">
      <w:bodyDiv w:val="1"/>
      <w:marLeft w:val="0"/>
      <w:marRight w:val="0"/>
      <w:marTop w:val="0"/>
      <w:marBottom w:val="0"/>
      <w:divBdr>
        <w:top w:val="none" w:sz="0" w:space="0" w:color="auto"/>
        <w:left w:val="none" w:sz="0" w:space="0" w:color="auto"/>
        <w:bottom w:val="none" w:sz="0" w:space="0" w:color="auto"/>
        <w:right w:val="none" w:sz="0" w:space="0" w:color="auto"/>
      </w:divBdr>
    </w:div>
    <w:div w:id="1761220464">
      <w:bodyDiv w:val="1"/>
      <w:marLeft w:val="0"/>
      <w:marRight w:val="0"/>
      <w:marTop w:val="0"/>
      <w:marBottom w:val="0"/>
      <w:divBdr>
        <w:top w:val="none" w:sz="0" w:space="0" w:color="auto"/>
        <w:left w:val="none" w:sz="0" w:space="0" w:color="auto"/>
        <w:bottom w:val="none" w:sz="0" w:space="0" w:color="auto"/>
        <w:right w:val="none" w:sz="0" w:space="0" w:color="auto"/>
      </w:divBdr>
    </w:div>
    <w:div w:id="1805005430">
      <w:bodyDiv w:val="1"/>
      <w:marLeft w:val="0"/>
      <w:marRight w:val="0"/>
      <w:marTop w:val="0"/>
      <w:marBottom w:val="0"/>
      <w:divBdr>
        <w:top w:val="none" w:sz="0" w:space="0" w:color="auto"/>
        <w:left w:val="none" w:sz="0" w:space="0" w:color="auto"/>
        <w:bottom w:val="none" w:sz="0" w:space="0" w:color="auto"/>
        <w:right w:val="none" w:sz="0" w:space="0" w:color="auto"/>
      </w:divBdr>
    </w:div>
    <w:div w:id="1806510534">
      <w:bodyDiv w:val="1"/>
      <w:marLeft w:val="0"/>
      <w:marRight w:val="0"/>
      <w:marTop w:val="0"/>
      <w:marBottom w:val="0"/>
      <w:divBdr>
        <w:top w:val="none" w:sz="0" w:space="0" w:color="auto"/>
        <w:left w:val="none" w:sz="0" w:space="0" w:color="auto"/>
        <w:bottom w:val="none" w:sz="0" w:space="0" w:color="auto"/>
        <w:right w:val="none" w:sz="0" w:space="0" w:color="auto"/>
      </w:divBdr>
    </w:div>
    <w:div w:id="1820533860">
      <w:bodyDiv w:val="1"/>
      <w:marLeft w:val="0"/>
      <w:marRight w:val="0"/>
      <w:marTop w:val="0"/>
      <w:marBottom w:val="0"/>
      <w:divBdr>
        <w:top w:val="none" w:sz="0" w:space="0" w:color="auto"/>
        <w:left w:val="none" w:sz="0" w:space="0" w:color="auto"/>
        <w:bottom w:val="none" w:sz="0" w:space="0" w:color="auto"/>
        <w:right w:val="none" w:sz="0" w:space="0" w:color="auto"/>
      </w:divBdr>
    </w:div>
    <w:div w:id="1842701264">
      <w:bodyDiv w:val="1"/>
      <w:marLeft w:val="0"/>
      <w:marRight w:val="0"/>
      <w:marTop w:val="0"/>
      <w:marBottom w:val="0"/>
      <w:divBdr>
        <w:top w:val="none" w:sz="0" w:space="0" w:color="auto"/>
        <w:left w:val="none" w:sz="0" w:space="0" w:color="auto"/>
        <w:bottom w:val="none" w:sz="0" w:space="0" w:color="auto"/>
        <w:right w:val="none" w:sz="0" w:space="0" w:color="auto"/>
      </w:divBdr>
    </w:div>
    <w:div w:id="1859544418">
      <w:bodyDiv w:val="1"/>
      <w:marLeft w:val="0"/>
      <w:marRight w:val="0"/>
      <w:marTop w:val="0"/>
      <w:marBottom w:val="0"/>
      <w:divBdr>
        <w:top w:val="none" w:sz="0" w:space="0" w:color="auto"/>
        <w:left w:val="none" w:sz="0" w:space="0" w:color="auto"/>
        <w:bottom w:val="none" w:sz="0" w:space="0" w:color="auto"/>
        <w:right w:val="none" w:sz="0" w:space="0" w:color="auto"/>
      </w:divBdr>
    </w:div>
    <w:div w:id="1871526123">
      <w:bodyDiv w:val="1"/>
      <w:marLeft w:val="0"/>
      <w:marRight w:val="0"/>
      <w:marTop w:val="0"/>
      <w:marBottom w:val="0"/>
      <w:divBdr>
        <w:top w:val="none" w:sz="0" w:space="0" w:color="auto"/>
        <w:left w:val="none" w:sz="0" w:space="0" w:color="auto"/>
        <w:bottom w:val="none" w:sz="0" w:space="0" w:color="auto"/>
        <w:right w:val="none" w:sz="0" w:space="0" w:color="auto"/>
      </w:divBdr>
    </w:div>
    <w:div w:id="1881552489">
      <w:bodyDiv w:val="1"/>
      <w:marLeft w:val="0"/>
      <w:marRight w:val="0"/>
      <w:marTop w:val="0"/>
      <w:marBottom w:val="0"/>
      <w:divBdr>
        <w:top w:val="none" w:sz="0" w:space="0" w:color="auto"/>
        <w:left w:val="none" w:sz="0" w:space="0" w:color="auto"/>
        <w:bottom w:val="none" w:sz="0" w:space="0" w:color="auto"/>
        <w:right w:val="none" w:sz="0" w:space="0" w:color="auto"/>
      </w:divBdr>
    </w:div>
    <w:div w:id="1919360484">
      <w:bodyDiv w:val="1"/>
      <w:marLeft w:val="0"/>
      <w:marRight w:val="0"/>
      <w:marTop w:val="0"/>
      <w:marBottom w:val="0"/>
      <w:divBdr>
        <w:top w:val="none" w:sz="0" w:space="0" w:color="auto"/>
        <w:left w:val="none" w:sz="0" w:space="0" w:color="auto"/>
        <w:bottom w:val="none" w:sz="0" w:space="0" w:color="auto"/>
        <w:right w:val="none" w:sz="0" w:space="0" w:color="auto"/>
      </w:divBdr>
    </w:div>
    <w:div w:id="1925644393">
      <w:bodyDiv w:val="1"/>
      <w:marLeft w:val="0"/>
      <w:marRight w:val="0"/>
      <w:marTop w:val="0"/>
      <w:marBottom w:val="0"/>
      <w:divBdr>
        <w:top w:val="none" w:sz="0" w:space="0" w:color="auto"/>
        <w:left w:val="none" w:sz="0" w:space="0" w:color="auto"/>
        <w:bottom w:val="none" w:sz="0" w:space="0" w:color="auto"/>
        <w:right w:val="none" w:sz="0" w:space="0" w:color="auto"/>
      </w:divBdr>
    </w:div>
    <w:div w:id="1931505963">
      <w:bodyDiv w:val="1"/>
      <w:marLeft w:val="0"/>
      <w:marRight w:val="0"/>
      <w:marTop w:val="0"/>
      <w:marBottom w:val="0"/>
      <w:divBdr>
        <w:top w:val="none" w:sz="0" w:space="0" w:color="auto"/>
        <w:left w:val="none" w:sz="0" w:space="0" w:color="auto"/>
        <w:bottom w:val="none" w:sz="0" w:space="0" w:color="auto"/>
        <w:right w:val="none" w:sz="0" w:space="0" w:color="auto"/>
      </w:divBdr>
    </w:div>
    <w:div w:id="1933270045">
      <w:bodyDiv w:val="1"/>
      <w:marLeft w:val="0"/>
      <w:marRight w:val="0"/>
      <w:marTop w:val="0"/>
      <w:marBottom w:val="0"/>
      <w:divBdr>
        <w:top w:val="none" w:sz="0" w:space="0" w:color="auto"/>
        <w:left w:val="none" w:sz="0" w:space="0" w:color="auto"/>
        <w:bottom w:val="none" w:sz="0" w:space="0" w:color="auto"/>
        <w:right w:val="none" w:sz="0" w:space="0" w:color="auto"/>
      </w:divBdr>
    </w:div>
    <w:div w:id="1974285673">
      <w:bodyDiv w:val="1"/>
      <w:marLeft w:val="0"/>
      <w:marRight w:val="0"/>
      <w:marTop w:val="0"/>
      <w:marBottom w:val="0"/>
      <w:divBdr>
        <w:top w:val="none" w:sz="0" w:space="0" w:color="auto"/>
        <w:left w:val="none" w:sz="0" w:space="0" w:color="auto"/>
        <w:bottom w:val="none" w:sz="0" w:space="0" w:color="auto"/>
        <w:right w:val="none" w:sz="0" w:space="0" w:color="auto"/>
      </w:divBdr>
    </w:div>
    <w:div w:id="1978563591">
      <w:bodyDiv w:val="1"/>
      <w:marLeft w:val="0"/>
      <w:marRight w:val="0"/>
      <w:marTop w:val="0"/>
      <w:marBottom w:val="0"/>
      <w:divBdr>
        <w:top w:val="none" w:sz="0" w:space="0" w:color="auto"/>
        <w:left w:val="none" w:sz="0" w:space="0" w:color="auto"/>
        <w:bottom w:val="none" w:sz="0" w:space="0" w:color="auto"/>
        <w:right w:val="none" w:sz="0" w:space="0" w:color="auto"/>
      </w:divBdr>
    </w:div>
    <w:div w:id="1996490291">
      <w:bodyDiv w:val="1"/>
      <w:marLeft w:val="0"/>
      <w:marRight w:val="0"/>
      <w:marTop w:val="0"/>
      <w:marBottom w:val="0"/>
      <w:divBdr>
        <w:top w:val="none" w:sz="0" w:space="0" w:color="auto"/>
        <w:left w:val="none" w:sz="0" w:space="0" w:color="auto"/>
        <w:bottom w:val="none" w:sz="0" w:space="0" w:color="auto"/>
        <w:right w:val="none" w:sz="0" w:space="0" w:color="auto"/>
      </w:divBdr>
    </w:div>
    <w:div w:id="2001540691">
      <w:bodyDiv w:val="1"/>
      <w:marLeft w:val="0"/>
      <w:marRight w:val="0"/>
      <w:marTop w:val="0"/>
      <w:marBottom w:val="0"/>
      <w:divBdr>
        <w:top w:val="none" w:sz="0" w:space="0" w:color="auto"/>
        <w:left w:val="none" w:sz="0" w:space="0" w:color="auto"/>
        <w:bottom w:val="none" w:sz="0" w:space="0" w:color="auto"/>
        <w:right w:val="none" w:sz="0" w:space="0" w:color="auto"/>
      </w:divBdr>
    </w:div>
    <w:div w:id="2031173975">
      <w:bodyDiv w:val="1"/>
      <w:marLeft w:val="0"/>
      <w:marRight w:val="0"/>
      <w:marTop w:val="0"/>
      <w:marBottom w:val="0"/>
      <w:divBdr>
        <w:top w:val="none" w:sz="0" w:space="0" w:color="auto"/>
        <w:left w:val="none" w:sz="0" w:space="0" w:color="auto"/>
        <w:bottom w:val="none" w:sz="0" w:space="0" w:color="auto"/>
        <w:right w:val="none" w:sz="0" w:space="0" w:color="auto"/>
      </w:divBdr>
    </w:div>
    <w:div w:id="2049061263">
      <w:bodyDiv w:val="1"/>
      <w:marLeft w:val="0"/>
      <w:marRight w:val="0"/>
      <w:marTop w:val="0"/>
      <w:marBottom w:val="0"/>
      <w:divBdr>
        <w:top w:val="none" w:sz="0" w:space="0" w:color="auto"/>
        <w:left w:val="none" w:sz="0" w:space="0" w:color="auto"/>
        <w:bottom w:val="none" w:sz="0" w:space="0" w:color="auto"/>
        <w:right w:val="none" w:sz="0" w:space="0" w:color="auto"/>
      </w:divBdr>
    </w:div>
    <w:div w:id="2058045755">
      <w:bodyDiv w:val="1"/>
      <w:marLeft w:val="0"/>
      <w:marRight w:val="0"/>
      <w:marTop w:val="0"/>
      <w:marBottom w:val="0"/>
      <w:divBdr>
        <w:top w:val="none" w:sz="0" w:space="0" w:color="auto"/>
        <w:left w:val="none" w:sz="0" w:space="0" w:color="auto"/>
        <w:bottom w:val="none" w:sz="0" w:space="0" w:color="auto"/>
        <w:right w:val="none" w:sz="0" w:space="0" w:color="auto"/>
      </w:divBdr>
    </w:div>
    <w:div w:id="2077169298">
      <w:bodyDiv w:val="1"/>
      <w:marLeft w:val="0"/>
      <w:marRight w:val="0"/>
      <w:marTop w:val="0"/>
      <w:marBottom w:val="0"/>
      <w:divBdr>
        <w:top w:val="none" w:sz="0" w:space="0" w:color="auto"/>
        <w:left w:val="none" w:sz="0" w:space="0" w:color="auto"/>
        <w:bottom w:val="none" w:sz="0" w:space="0" w:color="auto"/>
        <w:right w:val="none" w:sz="0" w:space="0" w:color="auto"/>
      </w:divBdr>
    </w:div>
    <w:div w:id="2086603520">
      <w:bodyDiv w:val="1"/>
      <w:marLeft w:val="0"/>
      <w:marRight w:val="0"/>
      <w:marTop w:val="0"/>
      <w:marBottom w:val="0"/>
      <w:divBdr>
        <w:top w:val="none" w:sz="0" w:space="0" w:color="auto"/>
        <w:left w:val="none" w:sz="0" w:space="0" w:color="auto"/>
        <w:bottom w:val="none" w:sz="0" w:space="0" w:color="auto"/>
        <w:right w:val="none" w:sz="0" w:space="0" w:color="auto"/>
      </w:divBdr>
    </w:div>
    <w:div w:id="2089766428">
      <w:bodyDiv w:val="1"/>
      <w:marLeft w:val="0"/>
      <w:marRight w:val="0"/>
      <w:marTop w:val="0"/>
      <w:marBottom w:val="0"/>
      <w:divBdr>
        <w:top w:val="none" w:sz="0" w:space="0" w:color="auto"/>
        <w:left w:val="none" w:sz="0" w:space="0" w:color="auto"/>
        <w:bottom w:val="none" w:sz="0" w:space="0" w:color="auto"/>
        <w:right w:val="none" w:sz="0" w:space="0" w:color="auto"/>
      </w:divBdr>
    </w:div>
    <w:div w:id="2092046688">
      <w:bodyDiv w:val="1"/>
      <w:marLeft w:val="0"/>
      <w:marRight w:val="0"/>
      <w:marTop w:val="0"/>
      <w:marBottom w:val="0"/>
      <w:divBdr>
        <w:top w:val="none" w:sz="0" w:space="0" w:color="auto"/>
        <w:left w:val="none" w:sz="0" w:space="0" w:color="auto"/>
        <w:bottom w:val="none" w:sz="0" w:space="0" w:color="auto"/>
        <w:right w:val="none" w:sz="0" w:space="0" w:color="auto"/>
      </w:divBdr>
    </w:div>
    <w:div w:id="2093231254">
      <w:bodyDiv w:val="1"/>
      <w:marLeft w:val="0"/>
      <w:marRight w:val="0"/>
      <w:marTop w:val="0"/>
      <w:marBottom w:val="0"/>
      <w:divBdr>
        <w:top w:val="none" w:sz="0" w:space="0" w:color="auto"/>
        <w:left w:val="none" w:sz="0" w:space="0" w:color="auto"/>
        <w:bottom w:val="none" w:sz="0" w:space="0" w:color="auto"/>
        <w:right w:val="none" w:sz="0" w:space="0" w:color="auto"/>
      </w:divBdr>
    </w:div>
    <w:div w:id="2098474173">
      <w:bodyDiv w:val="1"/>
      <w:marLeft w:val="0"/>
      <w:marRight w:val="0"/>
      <w:marTop w:val="0"/>
      <w:marBottom w:val="0"/>
      <w:divBdr>
        <w:top w:val="none" w:sz="0" w:space="0" w:color="auto"/>
        <w:left w:val="none" w:sz="0" w:space="0" w:color="auto"/>
        <w:bottom w:val="none" w:sz="0" w:space="0" w:color="auto"/>
        <w:right w:val="none" w:sz="0" w:space="0" w:color="auto"/>
      </w:divBdr>
    </w:div>
    <w:div w:id="2118402150">
      <w:bodyDiv w:val="1"/>
      <w:marLeft w:val="0"/>
      <w:marRight w:val="0"/>
      <w:marTop w:val="0"/>
      <w:marBottom w:val="0"/>
      <w:divBdr>
        <w:top w:val="none" w:sz="0" w:space="0" w:color="auto"/>
        <w:left w:val="none" w:sz="0" w:space="0" w:color="auto"/>
        <w:bottom w:val="none" w:sz="0" w:space="0" w:color="auto"/>
        <w:right w:val="none" w:sz="0" w:space="0" w:color="auto"/>
      </w:divBdr>
    </w:div>
    <w:div w:id="2123764755">
      <w:bodyDiv w:val="1"/>
      <w:marLeft w:val="0"/>
      <w:marRight w:val="0"/>
      <w:marTop w:val="0"/>
      <w:marBottom w:val="0"/>
      <w:divBdr>
        <w:top w:val="none" w:sz="0" w:space="0" w:color="auto"/>
        <w:left w:val="none" w:sz="0" w:space="0" w:color="auto"/>
        <w:bottom w:val="none" w:sz="0" w:space="0" w:color="auto"/>
        <w:right w:val="none" w:sz="0" w:space="0" w:color="auto"/>
      </w:divBdr>
    </w:div>
    <w:div w:id="212850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doi.org/10.1016/j.cell.2020.04.04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emf"/><Relationship Id="rId33"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emf"/><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emf"/><Relationship Id="rId30" Type="http://schemas.openxmlformats.org/officeDocument/2006/relationships/image" Target="media/image26.png"/><Relationship Id="rId35" Type="http://schemas.openxmlformats.org/officeDocument/2006/relationships/hyperlink" Target="https://doi.org/10.1038/s41589-022-01145-w"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2014</TotalTime>
  <Pages>14</Pages>
  <Words>4181</Words>
  <Characters>23837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Ãmer Ekmel Kara</dc:creator>
  <cp:keywords/>
  <dc:description/>
  <cp:lastModifiedBy>Ãmer Ekmel Kara</cp:lastModifiedBy>
  <cp:revision>112</cp:revision>
  <dcterms:created xsi:type="dcterms:W3CDTF">2025-05-28T13:57:00Z</dcterms:created>
  <dcterms:modified xsi:type="dcterms:W3CDTF">2025-06-04T12:09:00Z</dcterms:modified>
</cp:coreProperties>
</file>