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755E" w14:textId="246E12A1" w:rsidR="00077AD4" w:rsidRPr="00077AD4" w:rsidRDefault="00077AD4" w:rsidP="00077AD4">
      <w:pPr>
        <w:rPr>
          <w:rFonts w:ascii="David" w:hAnsi="David" w:cs="David"/>
          <w:b/>
          <w:bCs/>
          <w:sz w:val="24"/>
          <w:szCs w:val="24"/>
          <w:rtl/>
        </w:rPr>
      </w:pPr>
      <w:r w:rsidRPr="00077AD4">
        <w:rPr>
          <w:rFonts w:ascii="David" w:hAnsi="David" w:cs="David"/>
          <w:b/>
          <w:bCs/>
          <w:sz w:val="24"/>
          <w:szCs w:val="24"/>
          <w:rtl/>
        </w:rPr>
        <w:t>שימוש סביר בסוכך לחנייה ברכוש משותף – מתי זה הופך לבעיה משפטית?</w:t>
      </w:r>
    </w:p>
    <w:p w14:paraId="5210633F" w14:textId="459A41CF" w:rsidR="00077AD4" w:rsidRPr="00077AD4" w:rsidRDefault="00077AD4" w:rsidP="00077AD4">
      <w:pPr>
        <w:rPr>
          <w:rFonts w:ascii="David" w:hAnsi="David" w:cs="David"/>
          <w:sz w:val="24"/>
          <w:szCs w:val="24"/>
          <w:rtl/>
        </w:rPr>
      </w:pPr>
      <w:r w:rsidRPr="00077AD4">
        <w:rPr>
          <w:rFonts w:ascii="David" w:hAnsi="David" w:cs="David"/>
          <w:sz w:val="24"/>
          <w:szCs w:val="24"/>
          <w:rtl/>
        </w:rPr>
        <w:t>בבניינים משותפים רבים בישראל, השימוש ברכוש המשותף הוא נושא נפיץ שעלול להוביל לסכסוכים בין שכנים. אחד המקרים השכיחים ביותר הוא התקנת סוכך לחנייה – פעולה שנראית לכאורה פשוטה, אך עשויה להוביל למחלוקת משפטית. אז מתי סוכך חנייה הופך לבעיה? ומתי השימוש בו נחשב סביר? נבחן זאת דרך מקרה אמיתי שנדון בפני המפקח על רישום המקרקעין.</w:t>
      </w:r>
    </w:p>
    <w:p w14:paraId="07FB63BA" w14:textId="475B0E7A" w:rsidR="00077AD4" w:rsidRPr="00077AD4" w:rsidRDefault="00077AD4" w:rsidP="00077AD4">
      <w:pPr>
        <w:rPr>
          <w:rFonts w:ascii="David" w:hAnsi="David" w:cs="David"/>
          <w:sz w:val="24"/>
          <w:szCs w:val="24"/>
          <w:rtl/>
        </w:rPr>
      </w:pPr>
      <w:r w:rsidRPr="00077AD4">
        <w:rPr>
          <w:rFonts w:ascii="David" w:hAnsi="David" w:cs="David"/>
          <w:b/>
          <w:bCs/>
          <w:sz w:val="24"/>
          <w:szCs w:val="24"/>
          <w:rtl/>
        </w:rPr>
        <w:t>מהו שימוש סביר ברכוש המשותף?</w:t>
      </w:r>
    </w:p>
    <w:p w14:paraId="37AE44B0" w14:textId="05466691" w:rsidR="00077AD4" w:rsidRPr="00077AD4" w:rsidRDefault="00077AD4" w:rsidP="00077AD4">
      <w:pPr>
        <w:rPr>
          <w:rFonts w:ascii="David" w:hAnsi="David" w:cs="David"/>
          <w:sz w:val="24"/>
          <w:szCs w:val="24"/>
          <w:rtl/>
        </w:rPr>
      </w:pPr>
      <w:r w:rsidRPr="00077AD4">
        <w:rPr>
          <w:rFonts w:ascii="David" w:hAnsi="David" w:cs="David"/>
          <w:sz w:val="24"/>
          <w:szCs w:val="24"/>
          <w:rtl/>
        </w:rPr>
        <w:t>חוק המקרקעין, תשכ"ט-1969, קובע כי כל דייר בבית משותף רשאי להשתמש ברכוש המשותף באופן סביר, כל עוד אינו מונע או מגביל את השימוש של יתר הדיירים. המשמעות היא ששימוש ברכוש המשותף צריך להיעשות באופן הוגן, שאינו פוגע בזכויות השכנים האחרים.</w:t>
      </w:r>
    </w:p>
    <w:p w14:paraId="66130688" w14:textId="5B052745" w:rsidR="00077AD4" w:rsidRPr="00077AD4" w:rsidRDefault="00077AD4" w:rsidP="00077AD4">
      <w:pPr>
        <w:rPr>
          <w:rFonts w:ascii="David" w:hAnsi="David" w:cs="David"/>
          <w:sz w:val="24"/>
          <w:szCs w:val="24"/>
          <w:rtl/>
        </w:rPr>
      </w:pPr>
      <w:r w:rsidRPr="00077AD4">
        <w:rPr>
          <w:rFonts w:ascii="David" w:hAnsi="David" w:cs="David"/>
          <w:b/>
          <w:bCs/>
          <w:sz w:val="24"/>
          <w:szCs w:val="24"/>
          <w:rtl/>
        </w:rPr>
        <w:t>המקרה שהגיע לבית המשפט</w:t>
      </w:r>
      <w:r>
        <w:rPr>
          <w:rFonts w:ascii="David" w:hAnsi="David" w:cs="David" w:hint="cs"/>
          <w:b/>
          <w:bCs/>
          <w:sz w:val="24"/>
          <w:szCs w:val="24"/>
          <w:rtl/>
        </w:rPr>
        <w:t>:</w:t>
      </w:r>
    </w:p>
    <w:p w14:paraId="14AC297C" w14:textId="1F8E78B2" w:rsidR="00077AD4" w:rsidRPr="00077AD4" w:rsidRDefault="00077AD4" w:rsidP="00077AD4">
      <w:pPr>
        <w:rPr>
          <w:rFonts w:ascii="David" w:hAnsi="David" w:cs="David"/>
          <w:sz w:val="24"/>
          <w:szCs w:val="24"/>
          <w:rtl/>
        </w:rPr>
      </w:pPr>
      <w:r w:rsidRPr="00077AD4">
        <w:rPr>
          <w:rFonts w:ascii="David" w:hAnsi="David" w:cs="David"/>
          <w:sz w:val="24"/>
          <w:szCs w:val="24"/>
          <w:rtl/>
        </w:rPr>
        <w:t xml:space="preserve">בנובמבר 2021, דייר בבית משותף הגיש תביעה נגד שכנתו בטענה כי זו התקינה סוכך ארבע-רגלי בחנייתה, כשהעמוד הקדמי של הסוכך מוקם בסמוך לחנייתו. לטענתו, הסוכך הרחיב את חניית הנתבעת </w:t>
      </w:r>
      <w:proofErr w:type="spellStart"/>
      <w:r w:rsidRPr="00077AD4">
        <w:rPr>
          <w:rFonts w:ascii="David" w:hAnsi="David" w:cs="David"/>
          <w:sz w:val="24"/>
          <w:szCs w:val="24"/>
          <w:rtl/>
        </w:rPr>
        <w:t>בכחצי</w:t>
      </w:r>
      <w:proofErr w:type="spellEnd"/>
      <w:r w:rsidRPr="00077AD4">
        <w:rPr>
          <w:rFonts w:ascii="David" w:hAnsi="David" w:cs="David"/>
          <w:sz w:val="24"/>
          <w:szCs w:val="24"/>
          <w:rtl/>
        </w:rPr>
        <w:t xml:space="preserve"> מטר ופגע ביכולת שלו ל</w:t>
      </w:r>
      <w:r w:rsidR="00602D15">
        <w:rPr>
          <w:rFonts w:ascii="David" w:hAnsi="David" w:cs="David" w:hint="cs"/>
          <w:sz w:val="24"/>
          <w:szCs w:val="24"/>
          <w:rtl/>
        </w:rPr>
        <w:t>ה</w:t>
      </w:r>
      <w:r w:rsidRPr="00077AD4">
        <w:rPr>
          <w:rFonts w:ascii="David" w:hAnsi="David" w:cs="David"/>
          <w:sz w:val="24"/>
          <w:szCs w:val="24"/>
          <w:rtl/>
        </w:rPr>
        <w:t>חנות בנוחות ואף גרם לנזק לרכבו. פניותיו לנתבעת ולנציגות הבית בבקשה לשנות את מבנה הסוכך נדחו, ולכן הוא החליט להגיש תביעה למפקח על רישום המקרקעין.</w:t>
      </w:r>
    </w:p>
    <w:p w14:paraId="0911FA2A" w14:textId="1E0E8130" w:rsidR="00077AD4" w:rsidRPr="00077AD4" w:rsidRDefault="00077AD4" w:rsidP="00077AD4">
      <w:pPr>
        <w:rPr>
          <w:rFonts w:ascii="David" w:hAnsi="David" w:cs="David"/>
          <w:sz w:val="24"/>
          <w:szCs w:val="24"/>
          <w:rtl/>
        </w:rPr>
      </w:pPr>
      <w:r w:rsidRPr="00077AD4">
        <w:rPr>
          <w:rFonts w:ascii="David" w:hAnsi="David" w:cs="David"/>
          <w:b/>
          <w:bCs/>
          <w:sz w:val="24"/>
          <w:szCs w:val="24"/>
          <w:rtl/>
        </w:rPr>
        <w:t>טענות הצדדים</w:t>
      </w:r>
    </w:p>
    <w:p w14:paraId="0DA85A5E" w14:textId="626F3D1F" w:rsidR="00077AD4" w:rsidRPr="00077AD4" w:rsidRDefault="00077AD4" w:rsidP="00077AD4">
      <w:pPr>
        <w:rPr>
          <w:rFonts w:ascii="David" w:hAnsi="David" w:cs="David"/>
          <w:sz w:val="24"/>
          <w:szCs w:val="24"/>
          <w:rtl/>
        </w:rPr>
      </w:pPr>
      <w:r w:rsidRPr="00077AD4">
        <w:rPr>
          <w:rFonts w:ascii="David" w:hAnsi="David" w:cs="David"/>
          <w:b/>
          <w:bCs/>
          <w:sz w:val="24"/>
          <w:szCs w:val="24"/>
          <w:rtl/>
        </w:rPr>
        <w:t>התובע טען כי:</w:t>
      </w:r>
      <w:r>
        <w:rPr>
          <w:rFonts w:ascii="David" w:hAnsi="David" w:cs="David" w:hint="cs"/>
          <w:sz w:val="24"/>
          <w:szCs w:val="24"/>
          <w:rtl/>
        </w:rPr>
        <w:t xml:space="preserve"> </w:t>
      </w:r>
      <w:r w:rsidRPr="00077AD4">
        <w:rPr>
          <w:rFonts w:ascii="David" w:hAnsi="David" w:cs="David"/>
          <w:sz w:val="24"/>
          <w:szCs w:val="24"/>
          <w:rtl/>
        </w:rPr>
        <w:t>העמוד התומך של הסוכך מהווה מטרד ומפריע לנגישות החנייה שלו</w:t>
      </w:r>
      <w:r w:rsidR="00602D15">
        <w:rPr>
          <w:rFonts w:ascii="David" w:hAnsi="David" w:cs="David" w:hint="cs"/>
          <w:sz w:val="24"/>
          <w:szCs w:val="24"/>
          <w:rtl/>
        </w:rPr>
        <w:t>, משום</w:t>
      </w:r>
      <w:r>
        <w:rPr>
          <w:rFonts w:ascii="David" w:hAnsi="David" w:cs="David" w:hint="cs"/>
          <w:sz w:val="24"/>
          <w:szCs w:val="24"/>
          <w:rtl/>
        </w:rPr>
        <w:t xml:space="preserve"> </w:t>
      </w:r>
      <w:r w:rsidR="00602D15">
        <w:rPr>
          <w:rFonts w:ascii="David" w:hAnsi="David" w:cs="David" w:hint="cs"/>
          <w:sz w:val="24"/>
          <w:szCs w:val="24"/>
          <w:rtl/>
        </w:rPr>
        <w:t>ש</w:t>
      </w:r>
      <w:r w:rsidRPr="00077AD4">
        <w:rPr>
          <w:rFonts w:ascii="David" w:hAnsi="David" w:cs="David"/>
          <w:sz w:val="24"/>
          <w:szCs w:val="24"/>
          <w:rtl/>
        </w:rPr>
        <w:t>הסוכך</w:t>
      </w:r>
      <w:r w:rsidR="00602D15">
        <w:rPr>
          <w:rFonts w:ascii="David" w:hAnsi="David" w:cs="David" w:hint="cs"/>
          <w:sz w:val="24"/>
          <w:szCs w:val="24"/>
          <w:rtl/>
        </w:rPr>
        <w:t xml:space="preserve"> שהותקן הגדיל</w:t>
      </w:r>
      <w:r w:rsidRPr="00077AD4">
        <w:rPr>
          <w:rFonts w:ascii="David" w:hAnsi="David" w:cs="David"/>
          <w:sz w:val="24"/>
          <w:szCs w:val="24"/>
          <w:rtl/>
        </w:rPr>
        <w:t xml:space="preserve"> למעשה את שטח חניית הנתבעת מעבר לשטחה המקורי.</w:t>
      </w:r>
      <w:r>
        <w:rPr>
          <w:rFonts w:ascii="David" w:hAnsi="David" w:cs="David" w:hint="cs"/>
          <w:sz w:val="24"/>
          <w:szCs w:val="24"/>
          <w:rtl/>
        </w:rPr>
        <w:t xml:space="preserve"> </w:t>
      </w:r>
      <w:r w:rsidR="00602D15">
        <w:rPr>
          <w:rFonts w:ascii="David" w:hAnsi="David" w:cs="David" w:hint="cs"/>
          <w:sz w:val="24"/>
          <w:szCs w:val="24"/>
          <w:rtl/>
        </w:rPr>
        <w:t xml:space="preserve">משכך, התובע טען כי </w:t>
      </w:r>
      <w:r w:rsidRPr="00077AD4">
        <w:rPr>
          <w:rFonts w:ascii="David" w:hAnsi="David" w:cs="David"/>
          <w:sz w:val="24"/>
          <w:szCs w:val="24"/>
          <w:rtl/>
        </w:rPr>
        <w:t>הצבת הסוכך במתכונת הנוכחית מונעת ממנו בעתיד להציב סוכך תקני.</w:t>
      </w:r>
      <w:r>
        <w:rPr>
          <w:rFonts w:ascii="David" w:hAnsi="David" w:cs="David" w:hint="cs"/>
          <w:sz w:val="24"/>
          <w:szCs w:val="24"/>
          <w:rtl/>
        </w:rPr>
        <w:t xml:space="preserve"> </w:t>
      </w:r>
      <w:r w:rsidRPr="00077AD4">
        <w:rPr>
          <w:rFonts w:ascii="David" w:hAnsi="David" w:cs="David"/>
          <w:b/>
          <w:bCs/>
          <w:sz w:val="24"/>
          <w:szCs w:val="24"/>
          <w:rtl/>
        </w:rPr>
        <w:t>מנגד</w:t>
      </w:r>
      <w:r w:rsidRPr="00077AD4">
        <w:rPr>
          <w:rFonts w:ascii="David" w:hAnsi="David" w:cs="David"/>
          <w:sz w:val="24"/>
          <w:szCs w:val="24"/>
          <w:rtl/>
        </w:rPr>
        <w:t xml:space="preserve">, </w:t>
      </w:r>
      <w:r w:rsidRPr="00077AD4">
        <w:rPr>
          <w:rFonts w:ascii="David" w:hAnsi="David" w:cs="David"/>
          <w:b/>
          <w:bCs/>
          <w:sz w:val="24"/>
          <w:szCs w:val="24"/>
          <w:rtl/>
        </w:rPr>
        <w:t>הנתבעת טענה כי</w:t>
      </w:r>
      <w:r w:rsidRPr="00077AD4">
        <w:rPr>
          <w:rFonts w:ascii="David" w:hAnsi="David" w:cs="David"/>
          <w:sz w:val="24"/>
          <w:szCs w:val="24"/>
          <w:rtl/>
        </w:rPr>
        <w:t>:</w:t>
      </w:r>
      <w:r>
        <w:rPr>
          <w:rFonts w:ascii="David" w:hAnsi="David" w:cs="David" w:hint="cs"/>
          <w:sz w:val="24"/>
          <w:szCs w:val="24"/>
          <w:rtl/>
        </w:rPr>
        <w:t xml:space="preserve"> </w:t>
      </w:r>
      <w:r w:rsidRPr="00077AD4">
        <w:rPr>
          <w:rFonts w:ascii="David" w:hAnsi="David" w:cs="David"/>
          <w:sz w:val="24"/>
          <w:szCs w:val="24"/>
          <w:rtl/>
        </w:rPr>
        <w:t xml:space="preserve">התקנת הסוכך בוצעה בתוך שטח החנייה שלה, </w:t>
      </w:r>
      <w:r w:rsidR="00602D15">
        <w:rPr>
          <w:rFonts w:ascii="David" w:hAnsi="David" w:cs="David" w:hint="cs"/>
          <w:sz w:val="24"/>
          <w:szCs w:val="24"/>
          <w:rtl/>
        </w:rPr>
        <w:t>ו</w:t>
      </w:r>
      <w:r w:rsidRPr="00077AD4">
        <w:rPr>
          <w:rFonts w:ascii="David" w:hAnsi="David" w:cs="David"/>
          <w:sz w:val="24"/>
          <w:szCs w:val="24"/>
          <w:rtl/>
        </w:rPr>
        <w:t>בהתאם לרישום בטאבו</w:t>
      </w:r>
      <w:r>
        <w:rPr>
          <w:rFonts w:ascii="David" w:hAnsi="David" w:cs="David" w:hint="cs"/>
          <w:sz w:val="24"/>
          <w:szCs w:val="24"/>
          <w:rtl/>
        </w:rPr>
        <w:t xml:space="preserve"> וכי </w:t>
      </w:r>
      <w:r w:rsidRPr="00077AD4">
        <w:rPr>
          <w:rFonts w:ascii="David" w:hAnsi="David" w:cs="David"/>
          <w:sz w:val="24"/>
          <w:szCs w:val="24"/>
          <w:rtl/>
        </w:rPr>
        <w:t>לא נגרמה כל הפרעה ממשית לתובע.</w:t>
      </w:r>
    </w:p>
    <w:p w14:paraId="508E87D1" w14:textId="0FB50A6E" w:rsidR="00077AD4" w:rsidRPr="00077AD4" w:rsidRDefault="00077AD4" w:rsidP="00077AD4">
      <w:pPr>
        <w:rPr>
          <w:rFonts w:ascii="David" w:hAnsi="David" w:cs="David"/>
          <w:sz w:val="24"/>
          <w:szCs w:val="24"/>
          <w:rtl/>
        </w:rPr>
      </w:pPr>
      <w:r w:rsidRPr="00077AD4">
        <w:rPr>
          <w:rFonts w:ascii="David" w:hAnsi="David" w:cs="David"/>
          <w:b/>
          <w:bCs/>
          <w:sz w:val="24"/>
          <w:szCs w:val="24"/>
          <w:rtl/>
        </w:rPr>
        <w:t>מה פסק המפקח?</w:t>
      </w:r>
      <w:r>
        <w:rPr>
          <w:rFonts w:ascii="David" w:hAnsi="David" w:cs="David" w:hint="cs"/>
          <w:sz w:val="24"/>
          <w:szCs w:val="24"/>
          <w:rtl/>
        </w:rPr>
        <w:t xml:space="preserve"> </w:t>
      </w:r>
      <w:r w:rsidRPr="00077AD4">
        <w:rPr>
          <w:rFonts w:ascii="David" w:hAnsi="David" w:cs="David"/>
          <w:sz w:val="24"/>
          <w:szCs w:val="24"/>
          <w:rtl/>
        </w:rPr>
        <w:t>לאחר דיון</w:t>
      </w:r>
      <w:r>
        <w:rPr>
          <w:rFonts w:ascii="David" w:hAnsi="David" w:cs="David" w:hint="cs"/>
          <w:sz w:val="24"/>
          <w:szCs w:val="24"/>
          <w:rtl/>
        </w:rPr>
        <w:t xml:space="preserve"> מקדמי</w:t>
      </w:r>
      <w:r w:rsidRPr="00077AD4">
        <w:rPr>
          <w:rFonts w:ascii="David" w:hAnsi="David" w:cs="David"/>
          <w:sz w:val="24"/>
          <w:szCs w:val="24"/>
          <w:rtl/>
        </w:rPr>
        <w:t xml:space="preserve"> וביקור במקום, המפקח פסק כי התובע לא הצליח להוכיח שהחנייה של הנתבעת חורגת לתוך שטחו. עם זאת, הוא קבע כי העמוד התומך של הסוכך אכן מגביל את גישת התובע לחנייה, ולכן הורה על הסרתו.</w:t>
      </w:r>
    </w:p>
    <w:p w14:paraId="14C40C40" w14:textId="6871D0B7" w:rsidR="00077AD4" w:rsidRPr="00077AD4" w:rsidRDefault="00077AD4" w:rsidP="00077AD4">
      <w:pPr>
        <w:rPr>
          <w:rFonts w:ascii="David" w:hAnsi="David" w:cs="David"/>
          <w:sz w:val="24"/>
          <w:szCs w:val="24"/>
          <w:rtl/>
        </w:rPr>
      </w:pPr>
      <w:r w:rsidRPr="00077AD4">
        <w:rPr>
          <w:rFonts w:ascii="David" w:hAnsi="David" w:cs="David"/>
          <w:b/>
          <w:bCs/>
          <w:sz w:val="24"/>
          <w:szCs w:val="24"/>
          <w:rtl/>
        </w:rPr>
        <w:t>מה אפשר ללמוד מהמקרה?</w:t>
      </w:r>
      <w:r>
        <w:rPr>
          <w:rFonts w:ascii="David" w:hAnsi="David" w:cs="David" w:hint="cs"/>
          <w:sz w:val="24"/>
          <w:szCs w:val="24"/>
          <w:rtl/>
        </w:rPr>
        <w:t xml:space="preserve"> </w:t>
      </w:r>
      <w:r w:rsidRPr="00077AD4">
        <w:rPr>
          <w:rFonts w:ascii="David" w:hAnsi="David" w:cs="David"/>
          <w:sz w:val="24"/>
          <w:szCs w:val="24"/>
          <w:rtl/>
        </w:rPr>
        <w:t>מקרה זה ממחיש את החשיבות של שמירה על שימוש סביר ברכוש משותף והתחשבות בזכויות יתר הדיירים. שימוש שנראה לגיטימי בעיני דייר אחד, עלול להתפרש כפגיעה חמורה בעיני דייר אחר.</w:t>
      </w:r>
    </w:p>
    <w:p w14:paraId="4016C0CD" w14:textId="77777777" w:rsidR="00077AD4" w:rsidRPr="00077AD4" w:rsidRDefault="00077AD4" w:rsidP="00077AD4">
      <w:pPr>
        <w:rPr>
          <w:rFonts w:ascii="David" w:hAnsi="David" w:cs="David"/>
          <w:b/>
          <w:bCs/>
          <w:sz w:val="24"/>
          <w:szCs w:val="24"/>
          <w:rtl/>
        </w:rPr>
      </w:pPr>
      <w:r w:rsidRPr="00077AD4">
        <w:rPr>
          <w:rFonts w:ascii="David" w:hAnsi="David" w:cs="David"/>
          <w:b/>
          <w:bCs/>
          <w:sz w:val="24"/>
          <w:szCs w:val="24"/>
          <w:rtl/>
        </w:rPr>
        <w:t>איך להימנע מסכסוכים על התקנת סוכך חנייה?</w:t>
      </w:r>
    </w:p>
    <w:p w14:paraId="4F32B8DD" w14:textId="77777777" w:rsidR="00077AD4" w:rsidRPr="00077AD4" w:rsidRDefault="00077AD4" w:rsidP="00077AD4">
      <w:pPr>
        <w:rPr>
          <w:rFonts w:ascii="David" w:hAnsi="David" w:cs="David"/>
          <w:sz w:val="24"/>
          <w:szCs w:val="24"/>
          <w:rtl/>
        </w:rPr>
      </w:pPr>
      <w:r w:rsidRPr="00077AD4">
        <w:rPr>
          <w:rFonts w:ascii="David" w:hAnsi="David" w:cs="David"/>
          <w:sz w:val="24"/>
          <w:szCs w:val="24"/>
          <w:rtl/>
        </w:rPr>
        <w:t>לפני התקנת סוכך לחנייה בבית משותף, כדאי לוודא:</w:t>
      </w:r>
    </w:p>
    <w:p w14:paraId="67EAD3CB" w14:textId="77777777" w:rsidR="00077AD4" w:rsidRPr="00077AD4" w:rsidRDefault="00077AD4" w:rsidP="00077AD4">
      <w:pPr>
        <w:rPr>
          <w:rFonts w:ascii="David" w:hAnsi="David" w:cs="David"/>
          <w:sz w:val="24"/>
          <w:szCs w:val="24"/>
          <w:rtl/>
        </w:rPr>
      </w:pPr>
      <w:r w:rsidRPr="00077AD4">
        <w:rPr>
          <w:rFonts w:ascii="Segoe UI Emoji" w:hAnsi="Segoe UI Emoji" w:cs="Segoe UI Emoji" w:hint="cs"/>
          <w:sz w:val="24"/>
          <w:szCs w:val="24"/>
          <w:rtl/>
        </w:rPr>
        <w:t>✔</w:t>
      </w:r>
      <w:r w:rsidRPr="00077AD4">
        <w:rPr>
          <w:rFonts w:ascii="David" w:hAnsi="David" w:cs="David"/>
          <w:sz w:val="24"/>
          <w:szCs w:val="24"/>
          <w:rtl/>
        </w:rPr>
        <w:t xml:space="preserve"> </w:t>
      </w:r>
      <w:r w:rsidRPr="00077AD4">
        <w:rPr>
          <w:rFonts w:ascii="David" w:hAnsi="David" w:cs="David" w:hint="cs"/>
          <w:sz w:val="24"/>
          <w:szCs w:val="24"/>
          <w:rtl/>
        </w:rPr>
        <w:t>שהסוכך</w:t>
      </w:r>
      <w:r w:rsidRPr="00077AD4">
        <w:rPr>
          <w:rFonts w:ascii="David" w:hAnsi="David" w:cs="David"/>
          <w:sz w:val="24"/>
          <w:szCs w:val="24"/>
          <w:rtl/>
        </w:rPr>
        <w:t xml:space="preserve"> </w:t>
      </w:r>
      <w:r w:rsidRPr="00077AD4">
        <w:rPr>
          <w:rFonts w:ascii="David" w:hAnsi="David" w:cs="David" w:hint="cs"/>
          <w:sz w:val="24"/>
          <w:szCs w:val="24"/>
          <w:rtl/>
        </w:rPr>
        <w:t>אינו</w:t>
      </w:r>
      <w:r w:rsidRPr="00077AD4">
        <w:rPr>
          <w:rFonts w:ascii="David" w:hAnsi="David" w:cs="David"/>
          <w:sz w:val="24"/>
          <w:szCs w:val="24"/>
          <w:rtl/>
        </w:rPr>
        <w:t xml:space="preserve"> </w:t>
      </w:r>
      <w:r w:rsidRPr="00077AD4">
        <w:rPr>
          <w:rFonts w:ascii="David" w:hAnsi="David" w:cs="David" w:hint="cs"/>
          <w:sz w:val="24"/>
          <w:szCs w:val="24"/>
          <w:rtl/>
        </w:rPr>
        <w:t>מפריע</w:t>
      </w:r>
      <w:r w:rsidRPr="00077AD4">
        <w:rPr>
          <w:rFonts w:ascii="David" w:hAnsi="David" w:cs="David"/>
          <w:sz w:val="24"/>
          <w:szCs w:val="24"/>
          <w:rtl/>
        </w:rPr>
        <w:t xml:space="preserve"> </w:t>
      </w:r>
      <w:r w:rsidRPr="00077AD4">
        <w:rPr>
          <w:rFonts w:ascii="David" w:hAnsi="David" w:cs="David" w:hint="cs"/>
          <w:sz w:val="24"/>
          <w:szCs w:val="24"/>
          <w:rtl/>
        </w:rPr>
        <w:t>לדיירים</w:t>
      </w:r>
      <w:r w:rsidRPr="00077AD4">
        <w:rPr>
          <w:rFonts w:ascii="David" w:hAnsi="David" w:cs="David"/>
          <w:sz w:val="24"/>
          <w:szCs w:val="24"/>
          <w:rtl/>
        </w:rPr>
        <w:t xml:space="preserve"> </w:t>
      </w:r>
      <w:r w:rsidRPr="00077AD4">
        <w:rPr>
          <w:rFonts w:ascii="David" w:hAnsi="David" w:cs="David" w:hint="cs"/>
          <w:sz w:val="24"/>
          <w:szCs w:val="24"/>
          <w:rtl/>
        </w:rPr>
        <w:t>אחרים</w:t>
      </w:r>
      <w:r w:rsidRPr="00077AD4">
        <w:rPr>
          <w:rFonts w:ascii="David" w:hAnsi="David" w:cs="David"/>
          <w:sz w:val="24"/>
          <w:szCs w:val="24"/>
          <w:rtl/>
        </w:rPr>
        <w:t>.</w:t>
      </w:r>
    </w:p>
    <w:p w14:paraId="36CC06F6" w14:textId="77777777" w:rsidR="00077AD4" w:rsidRPr="00077AD4" w:rsidRDefault="00077AD4" w:rsidP="00077AD4">
      <w:pPr>
        <w:rPr>
          <w:rFonts w:ascii="David" w:hAnsi="David" w:cs="David"/>
          <w:sz w:val="24"/>
          <w:szCs w:val="24"/>
          <w:rtl/>
        </w:rPr>
      </w:pPr>
      <w:r w:rsidRPr="00077AD4">
        <w:rPr>
          <w:rFonts w:ascii="Segoe UI Emoji" w:hAnsi="Segoe UI Emoji" w:cs="Segoe UI Emoji" w:hint="cs"/>
          <w:sz w:val="24"/>
          <w:szCs w:val="24"/>
          <w:rtl/>
        </w:rPr>
        <w:t>✔</w:t>
      </w:r>
      <w:r w:rsidRPr="00077AD4">
        <w:rPr>
          <w:rFonts w:ascii="David" w:hAnsi="David" w:cs="David"/>
          <w:sz w:val="24"/>
          <w:szCs w:val="24"/>
          <w:rtl/>
        </w:rPr>
        <w:t xml:space="preserve"> </w:t>
      </w:r>
      <w:r w:rsidRPr="00077AD4">
        <w:rPr>
          <w:rFonts w:ascii="David" w:hAnsi="David" w:cs="David" w:hint="cs"/>
          <w:sz w:val="24"/>
          <w:szCs w:val="24"/>
          <w:rtl/>
        </w:rPr>
        <w:t>שהוא</w:t>
      </w:r>
      <w:r w:rsidRPr="00077AD4">
        <w:rPr>
          <w:rFonts w:ascii="David" w:hAnsi="David" w:cs="David"/>
          <w:sz w:val="24"/>
          <w:szCs w:val="24"/>
          <w:rtl/>
        </w:rPr>
        <w:t xml:space="preserve"> </w:t>
      </w:r>
      <w:r w:rsidRPr="00077AD4">
        <w:rPr>
          <w:rFonts w:ascii="David" w:hAnsi="David" w:cs="David" w:hint="cs"/>
          <w:sz w:val="24"/>
          <w:szCs w:val="24"/>
          <w:rtl/>
        </w:rPr>
        <w:t>אינ</w:t>
      </w:r>
      <w:r w:rsidRPr="00077AD4">
        <w:rPr>
          <w:rFonts w:ascii="David" w:hAnsi="David" w:cs="David"/>
          <w:sz w:val="24"/>
          <w:szCs w:val="24"/>
          <w:rtl/>
        </w:rPr>
        <w:t>ו חוסם מעבר או מקשה על השימוש ברכוש המשותף.</w:t>
      </w:r>
    </w:p>
    <w:p w14:paraId="4C33DAA4" w14:textId="77777777" w:rsidR="00077AD4" w:rsidRPr="00077AD4" w:rsidRDefault="00077AD4" w:rsidP="00077AD4">
      <w:pPr>
        <w:rPr>
          <w:rFonts w:ascii="David" w:hAnsi="David" w:cs="David"/>
          <w:sz w:val="24"/>
          <w:szCs w:val="24"/>
          <w:rtl/>
        </w:rPr>
      </w:pPr>
      <w:r w:rsidRPr="00077AD4">
        <w:rPr>
          <w:rFonts w:ascii="Segoe UI Emoji" w:hAnsi="Segoe UI Emoji" w:cs="Segoe UI Emoji" w:hint="cs"/>
          <w:sz w:val="24"/>
          <w:szCs w:val="24"/>
          <w:rtl/>
        </w:rPr>
        <w:t>✔</w:t>
      </w:r>
      <w:r w:rsidRPr="00077AD4">
        <w:rPr>
          <w:rFonts w:ascii="David" w:hAnsi="David" w:cs="David"/>
          <w:sz w:val="24"/>
          <w:szCs w:val="24"/>
          <w:rtl/>
        </w:rPr>
        <w:t xml:space="preserve"> </w:t>
      </w:r>
      <w:r w:rsidRPr="00077AD4">
        <w:rPr>
          <w:rFonts w:ascii="David" w:hAnsi="David" w:cs="David" w:hint="cs"/>
          <w:sz w:val="24"/>
          <w:szCs w:val="24"/>
          <w:rtl/>
        </w:rPr>
        <w:t>שהתקנתו</w:t>
      </w:r>
      <w:r w:rsidRPr="00077AD4">
        <w:rPr>
          <w:rFonts w:ascii="David" w:hAnsi="David" w:cs="David"/>
          <w:sz w:val="24"/>
          <w:szCs w:val="24"/>
          <w:rtl/>
        </w:rPr>
        <w:t xml:space="preserve"> </w:t>
      </w:r>
      <w:r w:rsidRPr="00077AD4">
        <w:rPr>
          <w:rFonts w:ascii="David" w:hAnsi="David" w:cs="David" w:hint="cs"/>
          <w:sz w:val="24"/>
          <w:szCs w:val="24"/>
          <w:rtl/>
        </w:rPr>
        <w:t>אינה</w:t>
      </w:r>
      <w:r w:rsidRPr="00077AD4">
        <w:rPr>
          <w:rFonts w:ascii="David" w:hAnsi="David" w:cs="David"/>
          <w:sz w:val="24"/>
          <w:szCs w:val="24"/>
          <w:rtl/>
        </w:rPr>
        <w:t xml:space="preserve"> </w:t>
      </w:r>
      <w:r w:rsidRPr="00077AD4">
        <w:rPr>
          <w:rFonts w:ascii="David" w:hAnsi="David" w:cs="David" w:hint="cs"/>
          <w:sz w:val="24"/>
          <w:szCs w:val="24"/>
          <w:rtl/>
        </w:rPr>
        <w:t>דורשת</w:t>
      </w:r>
      <w:r w:rsidRPr="00077AD4">
        <w:rPr>
          <w:rFonts w:ascii="David" w:hAnsi="David" w:cs="David"/>
          <w:sz w:val="24"/>
          <w:szCs w:val="24"/>
          <w:rtl/>
        </w:rPr>
        <w:t xml:space="preserve"> </w:t>
      </w:r>
      <w:r w:rsidRPr="00077AD4">
        <w:rPr>
          <w:rFonts w:ascii="David" w:hAnsi="David" w:cs="David" w:hint="cs"/>
          <w:sz w:val="24"/>
          <w:szCs w:val="24"/>
          <w:rtl/>
        </w:rPr>
        <w:t>היתר</w:t>
      </w:r>
      <w:r w:rsidRPr="00077AD4">
        <w:rPr>
          <w:rFonts w:ascii="David" w:hAnsi="David" w:cs="David"/>
          <w:sz w:val="24"/>
          <w:szCs w:val="24"/>
          <w:rtl/>
        </w:rPr>
        <w:t xml:space="preserve"> </w:t>
      </w:r>
      <w:r w:rsidRPr="00077AD4">
        <w:rPr>
          <w:rFonts w:ascii="David" w:hAnsi="David" w:cs="David" w:hint="cs"/>
          <w:sz w:val="24"/>
          <w:szCs w:val="24"/>
          <w:rtl/>
        </w:rPr>
        <w:t>בנייה</w:t>
      </w:r>
      <w:r w:rsidRPr="00077AD4">
        <w:rPr>
          <w:rFonts w:ascii="David" w:hAnsi="David" w:cs="David"/>
          <w:sz w:val="24"/>
          <w:szCs w:val="24"/>
          <w:rtl/>
        </w:rPr>
        <w:t xml:space="preserve"> </w:t>
      </w:r>
      <w:r w:rsidRPr="00077AD4">
        <w:rPr>
          <w:rFonts w:ascii="David" w:hAnsi="David" w:cs="David" w:hint="cs"/>
          <w:sz w:val="24"/>
          <w:szCs w:val="24"/>
          <w:rtl/>
        </w:rPr>
        <w:t>מהרשויות</w:t>
      </w:r>
      <w:r w:rsidRPr="00077AD4">
        <w:rPr>
          <w:rFonts w:ascii="David" w:hAnsi="David" w:cs="David"/>
          <w:sz w:val="24"/>
          <w:szCs w:val="24"/>
          <w:rtl/>
        </w:rPr>
        <w:t xml:space="preserve"> </w:t>
      </w:r>
      <w:r w:rsidRPr="00077AD4">
        <w:rPr>
          <w:rFonts w:ascii="David" w:hAnsi="David" w:cs="David" w:hint="cs"/>
          <w:sz w:val="24"/>
          <w:szCs w:val="24"/>
          <w:rtl/>
        </w:rPr>
        <w:t>המקומיות</w:t>
      </w:r>
      <w:r w:rsidRPr="00077AD4">
        <w:rPr>
          <w:rFonts w:ascii="David" w:hAnsi="David" w:cs="David"/>
          <w:sz w:val="24"/>
          <w:szCs w:val="24"/>
          <w:rtl/>
        </w:rPr>
        <w:t>.</w:t>
      </w:r>
    </w:p>
    <w:p w14:paraId="7C57A628" w14:textId="77777777" w:rsidR="00077AD4" w:rsidRPr="00077AD4" w:rsidRDefault="00077AD4" w:rsidP="00077AD4">
      <w:pPr>
        <w:rPr>
          <w:rFonts w:ascii="David" w:hAnsi="David" w:cs="David"/>
          <w:sz w:val="24"/>
          <w:szCs w:val="24"/>
          <w:rtl/>
        </w:rPr>
      </w:pPr>
      <w:r w:rsidRPr="00077AD4">
        <w:rPr>
          <w:rFonts w:ascii="Segoe UI Emoji" w:hAnsi="Segoe UI Emoji" w:cs="Segoe UI Emoji" w:hint="cs"/>
          <w:sz w:val="24"/>
          <w:szCs w:val="24"/>
          <w:rtl/>
        </w:rPr>
        <w:t>✔</w:t>
      </w:r>
      <w:r w:rsidRPr="00077AD4">
        <w:rPr>
          <w:rFonts w:ascii="David" w:hAnsi="David" w:cs="David"/>
          <w:sz w:val="24"/>
          <w:szCs w:val="24"/>
          <w:rtl/>
        </w:rPr>
        <w:t xml:space="preserve"> </w:t>
      </w:r>
      <w:r w:rsidRPr="00077AD4">
        <w:rPr>
          <w:rFonts w:ascii="David" w:hAnsi="David" w:cs="David" w:hint="cs"/>
          <w:sz w:val="24"/>
          <w:szCs w:val="24"/>
          <w:rtl/>
        </w:rPr>
        <w:t>שישנה</w:t>
      </w:r>
      <w:r w:rsidRPr="00077AD4">
        <w:rPr>
          <w:rFonts w:ascii="David" w:hAnsi="David" w:cs="David"/>
          <w:sz w:val="24"/>
          <w:szCs w:val="24"/>
          <w:rtl/>
        </w:rPr>
        <w:t xml:space="preserve"> </w:t>
      </w:r>
      <w:r w:rsidRPr="00077AD4">
        <w:rPr>
          <w:rFonts w:ascii="David" w:hAnsi="David" w:cs="David" w:hint="cs"/>
          <w:sz w:val="24"/>
          <w:szCs w:val="24"/>
          <w:rtl/>
        </w:rPr>
        <w:t>הסכמה</w:t>
      </w:r>
      <w:r w:rsidRPr="00077AD4">
        <w:rPr>
          <w:rFonts w:ascii="David" w:hAnsi="David" w:cs="David"/>
          <w:sz w:val="24"/>
          <w:szCs w:val="24"/>
          <w:rtl/>
        </w:rPr>
        <w:t xml:space="preserve"> </w:t>
      </w:r>
      <w:r w:rsidRPr="00077AD4">
        <w:rPr>
          <w:rFonts w:ascii="David" w:hAnsi="David" w:cs="David" w:hint="cs"/>
          <w:sz w:val="24"/>
          <w:szCs w:val="24"/>
          <w:rtl/>
        </w:rPr>
        <w:t>של</w:t>
      </w:r>
      <w:r w:rsidRPr="00077AD4">
        <w:rPr>
          <w:rFonts w:ascii="David" w:hAnsi="David" w:cs="David"/>
          <w:sz w:val="24"/>
          <w:szCs w:val="24"/>
          <w:rtl/>
        </w:rPr>
        <w:t xml:space="preserve"> </w:t>
      </w:r>
      <w:r w:rsidRPr="00077AD4">
        <w:rPr>
          <w:rFonts w:ascii="David" w:hAnsi="David" w:cs="David" w:hint="cs"/>
          <w:sz w:val="24"/>
          <w:szCs w:val="24"/>
          <w:rtl/>
        </w:rPr>
        <w:t>השכנים</w:t>
      </w:r>
      <w:r w:rsidRPr="00077AD4">
        <w:rPr>
          <w:rFonts w:ascii="David" w:hAnsi="David" w:cs="David"/>
          <w:sz w:val="24"/>
          <w:szCs w:val="24"/>
          <w:rtl/>
        </w:rPr>
        <w:t xml:space="preserve"> </w:t>
      </w:r>
      <w:r w:rsidRPr="00077AD4">
        <w:rPr>
          <w:rFonts w:ascii="David" w:hAnsi="David" w:cs="David" w:hint="cs"/>
          <w:sz w:val="24"/>
          <w:szCs w:val="24"/>
          <w:rtl/>
        </w:rPr>
        <w:t>או</w:t>
      </w:r>
      <w:r w:rsidRPr="00077AD4">
        <w:rPr>
          <w:rFonts w:ascii="David" w:hAnsi="David" w:cs="David"/>
          <w:sz w:val="24"/>
          <w:szCs w:val="24"/>
          <w:rtl/>
        </w:rPr>
        <w:t xml:space="preserve"> </w:t>
      </w:r>
      <w:r w:rsidRPr="00077AD4">
        <w:rPr>
          <w:rFonts w:ascii="David" w:hAnsi="David" w:cs="David" w:hint="cs"/>
          <w:sz w:val="24"/>
          <w:szCs w:val="24"/>
          <w:rtl/>
        </w:rPr>
        <w:t>החלטת</w:t>
      </w:r>
      <w:r w:rsidRPr="00077AD4">
        <w:rPr>
          <w:rFonts w:ascii="David" w:hAnsi="David" w:cs="David"/>
          <w:sz w:val="24"/>
          <w:szCs w:val="24"/>
          <w:rtl/>
        </w:rPr>
        <w:t xml:space="preserve"> </w:t>
      </w:r>
      <w:proofErr w:type="spellStart"/>
      <w:r w:rsidRPr="00077AD4">
        <w:rPr>
          <w:rFonts w:ascii="David" w:hAnsi="David" w:cs="David" w:hint="cs"/>
          <w:sz w:val="24"/>
          <w:szCs w:val="24"/>
          <w:rtl/>
        </w:rPr>
        <w:t>אסיפת</w:t>
      </w:r>
      <w:proofErr w:type="spellEnd"/>
      <w:r w:rsidRPr="00077AD4">
        <w:rPr>
          <w:rFonts w:ascii="David" w:hAnsi="David" w:cs="David"/>
          <w:sz w:val="24"/>
          <w:szCs w:val="24"/>
          <w:rtl/>
        </w:rPr>
        <w:t xml:space="preserve"> </w:t>
      </w:r>
      <w:r w:rsidRPr="00077AD4">
        <w:rPr>
          <w:rFonts w:ascii="David" w:hAnsi="David" w:cs="David" w:hint="cs"/>
          <w:sz w:val="24"/>
          <w:szCs w:val="24"/>
          <w:rtl/>
        </w:rPr>
        <w:t>דיירים</w:t>
      </w:r>
      <w:r w:rsidRPr="00077AD4">
        <w:rPr>
          <w:rFonts w:ascii="David" w:hAnsi="David" w:cs="David"/>
          <w:sz w:val="24"/>
          <w:szCs w:val="24"/>
          <w:rtl/>
        </w:rPr>
        <w:t xml:space="preserve"> </w:t>
      </w:r>
      <w:r w:rsidRPr="00077AD4">
        <w:rPr>
          <w:rFonts w:ascii="David" w:hAnsi="David" w:cs="David" w:hint="cs"/>
          <w:sz w:val="24"/>
          <w:szCs w:val="24"/>
          <w:rtl/>
        </w:rPr>
        <w:t>המאשרת</w:t>
      </w:r>
      <w:r w:rsidRPr="00077AD4">
        <w:rPr>
          <w:rFonts w:ascii="David" w:hAnsi="David" w:cs="David"/>
          <w:sz w:val="24"/>
          <w:szCs w:val="24"/>
          <w:rtl/>
        </w:rPr>
        <w:t xml:space="preserve"> </w:t>
      </w:r>
      <w:r w:rsidRPr="00077AD4">
        <w:rPr>
          <w:rFonts w:ascii="David" w:hAnsi="David" w:cs="David" w:hint="cs"/>
          <w:sz w:val="24"/>
          <w:szCs w:val="24"/>
          <w:rtl/>
        </w:rPr>
        <w:t>את</w:t>
      </w:r>
      <w:r w:rsidRPr="00077AD4">
        <w:rPr>
          <w:rFonts w:ascii="David" w:hAnsi="David" w:cs="David"/>
          <w:sz w:val="24"/>
          <w:szCs w:val="24"/>
          <w:rtl/>
        </w:rPr>
        <w:t xml:space="preserve"> </w:t>
      </w:r>
      <w:r w:rsidRPr="00077AD4">
        <w:rPr>
          <w:rFonts w:ascii="David" w:hAnsi="David" w:cs="David" w:hint="cs"/>
          <w:sz w:val="24"/>
          <w:szCs w:val="24"/>
          <w:rtl/>
        </w:rPr>
        <w:t>ההתקנה</w:t>
      </w:r>
      <w:r w:rsidRPr="00077AD4">
        <w:rPr>
          <w:rFonts w:ascii="David" w:hAnsi="David" w:cs="David"/>
          <w:sz w:val="24"/>
          <w:szCs w:val="24"/>
          <w:rtl/>
        </w:rPr>
        <w:t>.</w:t>
      </w:r>
    </w:p>
    <w:p w14:paraId="73E8F10B" w14:textId="77777777" w:rsidR="00077AD4" w:rsidRPr="00077AD4" w:rsidRDefault="00077AD4" w:rsidP="00077AD4">
      <w:pPr>
        <w:rPr>
          <w:rFonts w:ascii="David" w:hAnsi="David" w:cs="David"/>
          <w:sz w:val="24"/>
          <w:szCs w:val="24"/>
          <w:rtl/>
        </w:rPr>
      </w:pPr>
      <w:r w:rsidRPr="00077AD4">
        <w:rPr>
          <w:rFonts w:ascii="David" w:hAnsi="David" w:cs="David"/>
          <w:sz w:val="24"/>
          <w:szCs w:val="24"/>
          <w:rtl/>
        </w:rPr>
        <w:t>בסופו של דבר, המפתח למניעת מחלוקות הוא תיאום והידברות בין השכנים, לצד הקפדה על הוראות החוק. אם יש ספק – מומלץ לפנות לייעוץ משפטי ולמנוע סכסוך שעלול להיגרר לבית המשפט.</w:t>
      </w:r>
    </w:p>
    <w:p w14:paraId="205D6DF8" w14:textId="77777777" w:rsidR="005B656D" w:rsidRPr="00077AD4" w:rsidRDefault="005B656D">
      <w:pPr>
        <w:rPr>
          <w:rFonts w:ascii="David" w:hAnsi="David" w:cs="David"/>
          <w:sz w:val="24"/>
          <w:szCs w:val="24"/>
        </w:rPr>
      </w:pPr>
    </w:p>
    <w:sectPr w:rsidR="005B656D" w:rsidRPr="00077AD4"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D4"/>
    <w:rsid w:val="00077AD4"/>
    <w:rsid w:val="005B656D"/>
    <w:rsid w:val="00602D15"/>
    <w:rsid w:val="00B11997"/>
    <w:rsid w:val="00CC1B25"/>
    <w:rsid w:val="00E720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0E2F"/>
  <w15:chartTrackingRefBased/>
  <w15:docId w15:val="{31A29219-84AA-4A46-9719-3CCEE694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370</Words>
  <Characters>1854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MOJ</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2</cp:revision>
  <dcterms:created xsi:type="dcterms:W3CDTF">2025-03-05T09:12:00Z</dcterms:created>
  <dcterms:modified xsi:type="dcterms:W3CDTF">2025-03-05T09:12:00Z</dcterms:modified>
</cp:coreProperties>
</file>