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59269" w14:textId="77777777" w:rsidR="00E96CC4" w:rsidRPr="00E96CC4" w:rsidRDefault="00E96CC4" w:rsidP="00E96CC4">
      <w:pPr>
        <w:bidi/>
        <w:rPr>
          <w:b/>
          <w:bCs/>
        </w:rPr>
      </w:pPr>
      <w:r w:rsidRPr="00E96CC4">
        <w:rPr>
          <w:b/>
          <w:bCs/>
          <w:rtl/>
        </w:rPr>
        <w:t>מתי תאושר הפרדת ניהול בבית משותף</w:t>
      </w:r>
      <w:r w:rsidRPr="00E96CC4">
        <w:rPr>
          <w:b/>
          <w:bCs/>
        </w:rPr>
        <w:t>?</w:t>
      </w:r>
    </w:p>
    <w:p w14:paraId="21DEA5AE" w14:textId="77777777" w:rsidR="00E96CC4" w:rsidRPr="00E96CC4" w:rsidRDefault="00E96CC4" w:rsidP="00E96CC4">
      <w:pPr>
        <w:bidi/>
      </w:pPr>
      <w:r w:rsidRPr="00E96CC4">
        <w:rPr>
          <w:b/>
          <w:bCs/>
          <w:rtl/>
        </w:rPr>
        <w:t>שיקולים משפטיים בין רצון הדיירים למציאות הקניינית</w:t>
      </w:r>
    </w:p>
    <w:p w14:paraId="7586CE63" w14:textId="77777777" w:rsidR="00E96CC4" w:rsidRPr="00E96CC4" w:rsidRDefault="00E96CC4" w:rsidP="00E96CC4">
      <w:pPr>
        <w:bidi/>
      </w:pPr>
      <w:r w:rsidRPr="00E96CC4">
        <w:rPr>
          <w:rtl/>
        </w:rPr>
        <w:t>אחת הסוגיות המורכבות והטעונות ביותר בחיי היום-יום של בתים משותפים היא השאלה</w:t>
      </w:r>
      <w:r w:rsidRPr="00E96CC4">
        <w:t xml:space="preserve">: </w:t>
      </w:r>
      <w:r w:rsidRPr="00E96CC4">
        <w:rPr>
          <w:i/>
          <w:iCs/>
          <w:rtl/>
        </w:rPr>
        <w:t>האם דייר או קבוצת דיירים יכולים להתנהל בנפרד משאר הבניין – כלכלית, תפעולית וניהולית</w:t>
      </w:r>
      <w:r w:rsidRPr="00E96CC4">
        <w:rPr>
          <w:i/>
          <w:iCs/>
        </w:rPr>
        <w:t>?</w:t>
      </w:r>
      <w:r w:rsidRPr="00E96CC4">
        <w:t xml:space="preserve"> </w:t>
      </w:r>
      <w:r w:rsidRPr="00E96CC4">
        <w:rPr>
          <w:rtl/>
        </w:rPr>
        <w:t>השאלה הזו עולה בעיקר בבתים משותפים בעלי אגפים נפרדים, מבנים כפולים או כאשר מתקיימת תחושת קיפוח של חלק מהדיירים</w:t>
      </w:r>
      <w:r w:rsidRPr="00E96CC4">
        <w:t>.</w:t>
      </w:r>
    </w:p>
    <w:p w14:paraId="4FA8A56C" w14:textId="77777777" w:rsidR="00E96CC4" w:rsidRPr="00E96CC4" w:rsidRDefault="00E96CC4" w:rsidP="00E96CC4">
      <w:pPr>
        <w:bidi/>
      </w:pPr>
      <w:r w:rsidRPr="00E96CC4">
        <w:rPr>
          <w:rtl/>
        </w:rPr>
        <w:t>למפקח על רישום מקרקעין סמכות ייחודית לפי סעיף 59(ב) לחוק המקרקעין, המאפשרת לו להורות על ניהול נפרד של אגף או מבנה בבית משותף, גם אם אין לכך הוראה מפורשת בתקנון. אך מתי באמת תופעל סמכות זו</w:t>
      </w:r>
      <w:r w:rsidRPr="00E96CC4">
        <w:t>?</w:t>
      </w:r>
    </w:p>
    <w:p w14:paraId="13DF0B03" w14:textId="48F835B3" w:rsidR="00E96CC4" w:rsidRPr="00E96CC4" w:rsidRDefault="00E96CC4" w:rsidP="00E96CC4">
      <w:pPr>
        <w:bidi/>
      </w:pPr>
      <w:r w:rsidRPr="00E96CC4">
        <w:rPr>
          <w:rtl/>
        </w:rPr>
        <w:t xml:space="preserve">שני פסקי דין שניתנו בערכאת המפקחת על רישום מקרקעין </w:t>
      </w:r>
      <w:r>
        <w:rPr>
          <w:rFonts w:hint="cs"/>
          <w:rtl/>
        </w:rPr>
        <w:t>במחוזות שונים</w:t>
      </w:r>
      <w:r w:rsidRPr="00E96CC4">
        <w:rPr>
          <w:rtl/>
        </w:rPr>
        <w:t xml:space="preserve"> ממחישים היטב את גבולות ההפרדה: מקרה אחד שבו נדחתה בקשת דייר להיפרד מהנציגות בטענה כי דירתו מנותקת מהשאר, ומקרה אחר שבו התקבלה בקשת הפרדה לאחר שהוכח כי בפועל מדובר בשני מבנים עצמאיים</w:t>
      </w:r>
      <w:r w:rsidRPr="00E96CC4">
        <w:t>.</w:t>
      </w:r>
    </w:p>
    <w:p w14:paraId="6EB61F58" w14:textId="77777777" w:rsidR="00E96CC4" w:rsidRPr="00E96CC4" w:rsidRDefault="00E96CC4" w:rsidP="00E96CC4">
      <w:pPr>
        <w:bidi/>
        <w:rPr>
          <w:b/>
          <w:bCs/>
        </w:rPr>
      </w:pPr>
      <w:r w:rsidRPr="00E96CC4">
        <w:rPr>
          <w:b/>
          <w:bCs/>
          <w:rtl/>
        </w:rPr>
        <w:t>כאשר ההפרדה פיזית בלבד – והדייר נותר מחויב</w:t>
      </w:r>
    </w:p>
    <w:p w14:paraId="5BDD6815" w14:textId="77777777" w:rsidR="00E96CC4" w:rsidRPr="00E96CC4" w:rsidRDefault="00E96CC4" w:rsidP="00E96CC4">
      <w:pPr>
        <w:bidi/>
      </w:pPr>
      <w:r w:rsidRPr="00E96CC4">
        <w:rPr>
          <w:rtl/>
        </w:rPr>
        <w:t>בפסק דין אחד דן המקרה בדייר שביקש שלא להשתתף בשיפוץ חיצוני נרחב של הבניין בטענה כי דירתו מבודדת: יש לה כניסה צדדית, חצר פרטית, והיא אינה נהנית ישירות מהעבודות. לטענתו, יש לראות בה "אגף נפרד", ולפטור אותו מהתשלום</w:t>
      </w:r>
      <w:r w:rsidRPr="00E96CC4">
        <w:t>.</w:t>
      </w:r>
    </w:p>
    <w:p w14:paraId="57EEC3DF" w14:textId="77777777" w:rsidR="00E96CC4" w:rsidRPr="00E96CC4" w:rsidRDefault="00E96CC4" w:rsidP="00E96CC4">
      <w:pPr>
        <w:bidi/>
      </w:pPr>
      <w:r w:rsidRPr="00E96CC4">
        <w:rPr>
          <w:rtl/>
        </w:rPr>
        <w:t>המפקחת דחתה את הבקשה לאחר שניתחה את המצב בפועל: הדירה אמנם בעלת כניסה נפרדת, אך חלק מתשתיות החשמל, הניקוז והתחזוקה משותפות; הדייר עצמו שילם במשך שנים לוועד הבית, פנה לנציגות בתלונות ואף השתמש בחדר המדרגות המשותף. נקבע כי אין הצדקה להפרדה – לא נוצרה זהות תפקודית נפרדת ואין הכרה הדדית בין הצדדים בכך שמדובר ביחידה עצמאית</w:t>
      </w:r>
      <w:r w:rsidRPr="00E96CC4">
        <w:t>.</w:t>
      </w:r>
    </w:p>
    <w:p w14:paraId="7DDD1E78" w14:textId="77777777" w:rsidR="00E96CC4" w:rsidRPr="00E96CC4" w:rsidRDefault="00E96CC4" w:rsidP="00E96CC4">
      <w:pPr>
        <w:bidi/>
      </w:pPr>
      <w:r w:rsidRPr="00E96CC4">
        <w:rPr>
          <w:rtl/>
        </w:rPr>
        <w:t>המסקנה בפסק הדין הייתה ברורה: הפרדה פיזית בלבד – כמו שביל גישה נפרד או מרפסת סגורה – אינה מצדיקה ניהול נפרד. החוק רואה בדיירים שותפים מלאים, אלא אם הוכח אחרת ברמה מהותית</w:t>
      </w:r>
      <w:r w:rsidRPr="00E96CC4">
        <w:t>.</w:t>
      </w:r>
    </w:p>
    <w:p w14:paraId="26E6E758" w14:textId="77777777" w:rsidR="00E96CC4" w:rsidRPr="00E96CC4" w:rsidRDefault="00E96CC4" w:rsidP="00E96CC4">
      <w:pPr>
        <w:bidi/>
        <w:rPr>
          <w:b/>
          <w:bCs/>
        </w:rPr>
      </w:pPr>
      <w:r w:rsidRPr="00E96CC4">
        <w:rPr>
          <w:b/>
          <w:bCs/>
          <w:rtl/>
        </w:rPr>
        <w:t>כאשר ההפרדה קיימת גם בפועל – והמפקחת מאשרת</w:t>
      </w:r>
    </w:p>
    <w:p w14:paraId="0345D74A" w14:textId="77777777" w:rsidR="00E96CC4" w:rsidRPr="00E96CC4" w:rsidRDefault="00E96CC4" w:rsidP="00E96CC4">
      <w:pPr>
        <w:bidi/>
      </w:pPr>
      <w:r w:rsidRPr="00E96CC4">
        <w:rPr>
          <w:rtl/>
        </w:rPr>
        <w:t>לעומת זאת, בפסק דין אחר שנדון באותו מחוז, עלתה שאלה דומה אך בתנאים שונים לגמרי: בית משותף הכולל שני מבנים נפרדים – קדמי ועורפי – אשר לכל אחד מהם כניסה שונה, תיבות דואר נפרדות, גגות עצמאיים, ויותר מכל – נוהג רווח ומתועד של ניהול נפרד במשך עשרות שנים</w:t>
      </w:r>
      <w:r w:rsidRPr="00E96CC4">
        <w:t>.</w:t>
      </w:r>
    </w:p>
    <w:p w14:paraId="2960EDD4" w14:textId="77777777" w:rsidR="00E96CC4" w:rsidRPr="00E96CC4" w:rsidRDefault="00E96CC4" w:rsidP="00E96CC4">
      <w:pPr>
        <w:bidi/>
      </w:pPr>
      <w:r w:rsidRPr="00E96CC4">
        <w:rPr>
          <w:rtl/>
        </w:rPr>
        <w:t>הדיירים באחד המבנים ערכו שיפוץ משמעותי בחזית ובחדר המדרגות, לאחר שנים של הזנחה ובעיות בטיחות. דיירת במבנה האחר סירבה לשאת בעלויות, בטענה שלא שותפה לקבלת ההחלטה, ולא נהנית מהשיפוץ. המפקחת בחנה את העובדות וקבעה כי מדובר בבית מורכב שבו כל מבנה מתנהל ומתחזק את עצמו, ולכן אין הצדקה לחייב את הדיירת בהוצאות – גם בהיעדר הוראה מפורשת בתקנון</w:t>
      </w:r>
      <w:r w:rsidRPr="00E96CC4">
        <w:t>.</w:t>
      </w:r>
    </w:p>
    <w:p w14:paraId="06909D7C" w14:textId="77777777" w:rsidR="00E96CC4" w:rsidRPr="00E96CC4" w:rsidRDefault="00E96CC4" w:rsidP="00E96CC4">
      <w:pPr>
        <w:bidi/>
      </w:pPr>
      <w:r w:rsidRPr="00E96CC4">
        <w:rPr>
          <w:rtl/>
        </w:rPr>
        <w:t>במקרה זה הודגש כי הייתה זיקה חלשה בין המבנים, כל אחד מהם נשא בעלויות התחזוקה שלו, והפרקטיקה הקיימת יצרה אוטונומיה תפקודית. ההכרעה שיקפה מציאות חיים שונה, בה הדיירים פעלו הלכה למעשה כמערכות נפרדות</w:t>
      </w:r>
      <w:r w:rsidRPr="00E96CC4">
        <w:t>.</w:t>
      </w:r>
    </w:p>
    <w:p w14:paraId="74F662C1" w14:textId="77777777" w:rsidR="00E96CC4" w:rsidRPr="00E96CC4" w:rsidRDefault="00E96CC4" w:rsidP="00E96CC4">
      <w:pPr>
        <w:bidi/>
        <w:rPr>
          <w:b/>
          <w:bCs/>
        </w:rPr>
      </w:pPr>
      <w:r w:rsidRPr="00E96CC4">
        <w:rPr>
          <w:b/>
          <w:bCs/>
          <w:rtl/>
        </w:rPr>
        <w:lastRenderedPageBreak/>
        <w:t>עקרונות מנחים להכרה בבית מורכב</w:t>
      </w:r>
    </w:p>
    <w:p w14:paraId="2B37759C" w14:textId="77777777" w:rsidR="00E96CC4" w:rsidRPr="00E96CC4" w:rsidRDefault="00E96CC4" w:rsidP="00E96CC4">
      <w:pPr>
        <w:bidi/>
      </w:pPr>
      <w:r w:rsidRPr="00E96CC4">
        <w:rPr>
          <w:rtl/>
        </w:rPr>
        <w:t>ההשוואה בין שני המקרים מחדדת את העקרונות שמנחים את הערכאות כאשר הן שוקלות להכיר בבית מורכב ולהתיר ניהול נפרד</w:t>
      </w:r>
      <w:r w:rsidRPr="00E96CC4">
        <w:t>:</w:t>
      </w:r>
    </w:p>
    <w:p w14:paraId="09A79FF1" w14:textId="77777777" w:rsidR="00E96CC4" w:rsidRPr="00E96CC4" w:rsidRDefault="00E96CC4" w:rsidP="00E96CC4">
      <w:pPr>
        <w:numPr>
          <w:ilvl w:val="0"/>
          <w:numId w:val="1"/>
        </w:numPr>
        <w:bidi/>
      </w:pPr>
      <w:r w:rsidRPr="00E96CC4">
        <w:rPr>
          <w:b/>
          <w:bCs/>
          <w:rtl/>
        </w:rPr>
        <w:t>הפרדה תפקודית לאורך זמן</w:t>
      </w:r>
      <w:r w:rsidRPr="00E96CC4">
        <w:t xml:space="preserve">: </w:t>
      </w:r>
      <w:r w:rsidRPr="00E96CC4">
        <w:rPr>
          <w:rtl/>
        </w:rPr>
        <w:t>האם האגפים או המבנים מתוחזקים בנפרד לאורך השנים, עם תיעוד של קבלת החלטות עצמאית</w:t>
      </w:r>
      <w:r w:rsidRPr="00E96CC4">
        <w:t>?</w:t>
      </w:r>
    </w:p>
    <w:p w14:paraId="7EAF91DA" w14:textId="77777777" w:rsidR="00E96CC4" w:rsidRPr="00E96CC4" w:rsidRDefault="00E96CC4" w:rsidP="00E96CC4">
      <w:pPr>
        <w:numPr>
          <w:ilvl w:val="0"/>
          <w:numId w:val="1"/>
        </w:numPr>
        <w:bidi/>
      </w:pPr>
      <w:r w:rsidRPr="00E96CC4">
        <w:rPr>
          <w:b/>
          <w:bCs/>
          <w:rtl/>
        </w:rPr>
        <w:t>נוהג מקובל בקרב הדיירים</w:t>
      </w:r>
      <w:r w:rsidRPr="00E96CC4">
        <w:t xml:space="preserve">: </w:t>
      </w:r>
      <w:r w:rsidRPr="00E96CC4">
        <w:rPr>
          <w:rtl/>
        </w:rPr>
        <w:t>האם היה שיתוף פעולה בעבר או שמדובר בנוהג של ניהול שונה</w:t>
      </w:r>
      <w:r w:rsidRPr="00E96CC4">
        <w:t>?</w:t>
      </w:r>
    </w:p>
    <w:p w14:paraId="307B45F7" w14:textId="77777777" w:rsidR="00E96CC4" w:rsidRPr="00E96CC4" w:rsidRDefault="00E96CC4" w:rsidP="00E96CC4">
      <w:pPr>
        <w:numPr>
          <w:ilvl w:val="0"/>
          <w:numId w:val="1"/>
        </w:numPr>
        <w:bidi/>
      </w:pPr>
      <w:r w:rsidRPr="00E96CC4">
        <w:rPr>
          <w:b/>
          <w:bCs/>
          <w:rtl/>
        </w:rPr>
        <w:t>תשתיות נפרדות</w:t>
      </w:r>
      <w:r w:rsidRPr="00E96CC4">
        <w:t xml:space="preserve">: </w:t>
      </w:r>
      <w:r w:rsidRPr="00E96CC4">
        <w:rPr>
          <w:rtl/>
        </w:rPr>
        <w:t>גגות, חשמל, אינטרקום, גישה פיזית – ככל שיש ניתוק בתשתיות, כך גוברת ההצדקה להפרדה</w:t>
      </w:r>
      <w:r w:rsidRPr="00E96CC4">
        <w:t>.</w:t>
      </w:r>
    </w:p>
    <w:p w14:paraId="0437F29F" w14:textId="77777777" w:rsidR="00E96CC4" w:rsidRPr="00E96CC4" w:rsidRDefault="00E96CC4" w:rsidP="00E96CC4">
      <w:pPr>
        <w:numPr>
          <w:ilvl w:val="0"/>
          <w:numId w:val="1"/>
        </w:numPr>
        <w:bidi/>
      </w:pPr>
      <w:r w:rsidRPr="00E96CC4">
        <w:rPr>
          <w:b/>
          <w:bCs/>
          <w:rtl/>
        </w:rPr>
        <w:t>שיתוף בהוצאות</w:t>
      </w:r>
      <w:r w:rsidRPr="00E96CC4">
        <w:t xml:space="preserve">: </w:t>
      </w:r>
      <w:r w:rsidRPr="00E96CC4">
        <w:rPr>
          <w:rtl/>
        </w:rPr>
        <w:t>האם הדיירים מחויבים זה לזה מבחינה כספית, או שההתנהלות לאורך השנים הייתה עצמאית</w:t>
      </w:r>
      <w:r w:rsidRPr="00E96CC4">
        <w:t>?</w:t>
      </w:r>
    </w:p>
    <w:p w14:paraId="716361BA" w14:textId="77777777" w:rsidR="00E96CC4" w:rsidRPr="00E96CC4" w:rsidRDefault="00E96CC4" w:rsidP="00E96CC4">
      <w:pPr>
        <w:bidi/>
        <w:rPr>
          <w:b/>
          <w:bCs/>
        </w:rPr>
      </w:pPr>
      <w:r w:rsidRPr="00E96CC4">
        <w:rPr>
          <w:b/>
          <w:bCs/>
          <w:rtl/>
        </w:rPr>
        <w:t>לסיכום – לא כל כניסה נפרדת יוצרת זכות להיפרדות</w:t>
      </w:r>
    </w:p>
    <w:p w14:paraId="0CA8FD9B" w14:textId="77777777" w:rsidR="00E96CC4" w:rsidRPr="00E96CC4" w:rsidRDefault="00E96CC4" w:rsidP="00E96CC4">
      <w:pPr>
        <w:bidi/>
      </w:pPr>
      <w:r w:rsidRPr="00E96CC4">
        <w:rPr>
          <w:rtl/>
        </w:rPr>
        <w:t xml:space="preserve">הפסיקה מדגישה כי </w:t>
      </w:r>
      <w:r w:rsidRPr="00E96CC4">
        <w:rPr>
          <w:i/>
          <w:iCs/>
          <w:rtl/>
        </w:rPr>
        <w:t>הפרדה פורמלית דורשת גם מציאות נפרדת</w:t>
      </w:r>
      <w:r w:rsidRPr="00E96CC4">
        <w:t xml:space="preserve">. </w:t>
      </w:r>
      <w:r w:rsidRPr="00E96CC4">
        <w:rPr>
          <w:rtl/>
        </w:rPr>
        <w:t>לא כל תחושת ניתוק מצד דייר ולא כל פתח כניסה עצמאי יצדיקו הפרדה בניהול ובתחזוקה. על כן, לפני שנוקט דייר בצעד משפטי לבקש הפרדת ניהול, עליו לבחון האם עומדות לצדו נסיבות מהותיות שיכולות להצדיק את הבקשה – גם בעיני החוק</w:t>
      </w:r>
      <w:r w:rsidRPr="00E96CC4">
        <w:t>.</w:t>
      </w:r>
    </w:p>
    <w:p w14:paraId="4A15DF7A" w14:textId="77777777" w:rsidR="00E96CC4" w:rsidRPr="00E96CC4" w:rsidRDefault="00E96CC4" w:rsidP="00E96CC4">
      <w:pPr>
        <w:bidi/>
      </w:pPr>
      <w:r w:rsidRPr="00E96CC4">
        <w:rPr>
          <w:rtl/>
        </w:rPr>
        <w:t>במקרים רבים, ליווי משפטי נכון בשלב מקדים יכול למנוע סכסוכים, לחסוך בעלויות ואף לאפשר ניסוח תקנון מוסכם חדש, שיבטיח ניהול שקט, צודק וחוקי לכלל בעלי הדירות</w:t>
      </w:r>
      <w:r w:rsidRPr="00E96CC4">
        <w:t>.</w:t>
      </w:r>
    </w:p>
    <w:p w14:paraId="58832D43" w14:textId="77777777" w:rsidR="00E96CC4" w:rsidRDefault="00E96CC4" w:rsidP="00E96CC4">
      <w:pPr>
        <w:bidi/>
      </w:pPr>
    </w:p>
    <w:sectPr w:rsidR="00E9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72510"/>
    <w:multiLevelType w:val="multilevel"/>
    <w:tmpl w:val="0BE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72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C4"/>
    <w:rsid w:val="007C274D"/>
    <w:rsid w:val="00E96C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B0F2"/>
  <w15:chartTrackingRefBased/>
  <w15:docId w15:val="{ED2F49B5-E154-4311-B567-809D1767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CC4"/>
    <w:rPr>
      <w:rFonts w:eastAsiaTheme="majorEastAsia" w:cstheme="majorBidi"/>
      <w:color w:val="272727" w:themeColor="text1" w:themeTint="D8"/>
    </w:rPr>
  </w:style>
  <w:style w:type="paragraph" w:styleId="Title">
    <w:name w:val="Title"/>
    <w:basedOn w:val="Normal"/>
    <w:next w:val="Normal"/>
    <w:link w:val="TitleChar"/>
    <w:uiPriority w:val="10"/>
    <w:qFormat/>
    <w:rsid w:val="00E96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CC4"/>
    <w:pPr>
      <w:spacing w:before="160"/>
      <w:jc w:val="center"/>
    </w:pPr>
    <w:rPr>
      <w:i/>
      <w:iCs/>
      <w:color w:val="404040" w:themeColor="text1" w:themeTint="BF"/>
    </w:rPr>
  </w:style>
  <w:style w:type="character" w:customStyle="1" w:styleId="QuoteChar">
    <w:name w:val="Quote Char"/>
    <w:basedOn w:val="DefaultParagraphFont"/>
    <w:link w:val="Quote"/>
    <w:uiPriority w:val="29"/>
    <w:rsid w:val="00E96CC4"/>
    <w:rPr>
      <w:i/>
      <w:iCs/>
      <w:color w:val="404040" w:themeColor="text1" w:themeTint="BF"/>
    </w:rPr>
  </w:style>
  <w:style w:type="paragraph" w:styleId="ListParagraph">
    <w:name w:val="List Paragraph"/>
    <w:basedOn w:val="Normal"/>
    <w:uiPriority w:val="34"/>
    <w:qFormat/>
    <w:rsid w:val="00E96CC4"/>
    <w:pPr>
      <w:ind w:left="720"/>
      <w:contextualSpacing/>
    </w:pPr>
  </w:style>
  <w:style w:type="character" w:styleId="IntenseEmphasis">
    <w:name w:val="Intense Emphasis"/>
    <w:basedOn w:val="DefaultParagraphFont"/>
    <w:uiPriority w:val="21"/>
    <w:qFormat/>
    <w:rsid w:val="00E96CC4"/>
    <w:rPr>
      <w:i/>
      <w:iCs/>
      <w:color w:val="0F4761" w:themeColor="accent1" w:themeShade="BF"/>
    </w:rPr>
  </w:style>
  <w:style w:type="paragraph" w:styleId="IntenseQuote">
    <w:name w:val="Intense Quote"/>
    <w:basedOn w:val="Normal"/>
    <w:next w:val="Normal"/>
    <w:link w:val="IntenseQuoteChar"/>
    <w:uiPriority w:val="30"/>
    <w:qFormat/>
    <w:rsid w:val="00E96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CC4"/>
    <w:rPr>
      <w:i/>
      <w:iCs/>
      <w:color w:val="0F4761" w:themeColor="accent1" w:themeShade="BF"/>
    </w:rPr>
  </w:style>
  <w:style w:type="character" w:styleId="IntenseReference">
    <w:name w:val="Intense Reference"/>
    <w:basedOn w:val="DefaultParagraphFont"/>
    <w:uiPriority w:val="32"/>
    <w:qFormat/>
    <w:rsid w:val="00E96C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8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2025-07-10T10:52:00Z</dcterms:created>
  <dcterms:modified xsi:type="dcterms:W3CDTF">2025-07-10T10:54:00Z</dcterms:modified>
</cp:coreProperties>
</file>