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7D5E8F" w14:textId="77777777" w:rsidR="00E16614" w:rsidRPr="00E16614" w:rsidRDefault="00E16614" w:rsidP="00E16614">
      <w:pPr>
        <w:bidi/>
        <w:spacing w:line="259" w:lineRule="auto"/>
        <w:rPr>
          <w:rFonts w:ascii="Calibri" w:eastAsia="Calibri" w:hAnsi="Calibri" w:cs="Arial"/>
          <w:kern w:val="0"/>
          <w:sz w:val="22"/>
          <w:szCs w:val="22"/>
          <w:lang w:val="en-US"/>
          <w14:ligatures w14:val="none"/>
        </w:rPr>
      </w:pPr>
      <w:r w:rsidRPr="00E16614">
        <w:rPr>
          <w:rFonts w:ascii="Calibri" w:eastAsia="Calibri" w:hAnsi="Calibri" w:cs="Arial"/>
          <w:b/>
          <w:bCs/>
          <w:kern w:val="0"/>
          <w:sz w:val="22"/>
          <w:szCs w:val="22"/>
          <w:rtl/>
          <w:lang w:val="en-US"/>
          <w14:ligatures w14:val="none"/>
        </w:rPr>
        <w:t>נושא</w:t>
      </w:r>
      <w:r w:rsidRPr="00E16614">
        <w:rPr>
          <w:rFonts w:ascii="Calibri" w:eastAsia="Calibri" w:hAnsi="Calibri" w:cs="Arial"/>
          <w:b/>
          <w:bCs/>
          <w:kern w:val="0"/>
          <w:sz w:val="22"/>
          <w:szCs w:val="22"/>
          <w:lang w:val="en-US"/>
          <w14:ligatures w14:val="none"/>
        </w:rPr>
        <w:t>:</w:t>
      </w:r>
      <w:r w:rsidRPr="00E16614">
        <w:rPr>
          <w:rFonts w:ascii="Calibri" w:eastAsia="Calibri" w:hAnsi="Calibri" w:cs="Arial" w:hint="cs"/>
          <w:b/>
          <w:bCs/>
          <w:kern w:val="0"/>
          <w:sz w:val="22"/>
          <w:szCs w:val="22"/>
          <w:rtl/>
          <w:lang w:val="en-US"/>
          <w14:ligatures w14:val="none"/>
        </w:rPr>
        <w:t xml:space="preserve"> </w:t>
      </w:r>
      <w:r w:rsidRPr="00E16614">
        <w:rPr>
          <w:rFonts w:ascii="Calibri" w:eastAsia="Calibri" w:hAnsi="Calibri" w:cs="Arial"/>
          <w:b/>
          <w:bCs/>
          <w:kern w:val="0"/>
          <w:sz w:val="22"/>
          <w:szCs w:val="22"/>
          <w:rtl/>
          <w:lang w:val="en-US"/>
          <w14:ligatures w14:val="none"/>
        </w:rPr>
        <w:t>תביעה לסילוק יד ופירוק דלת זכוכית שהותקנה שלא כדין בשטח משותף</w:t>
      </w:r>
      <w:r w:rsidRPr="00E16614">
        <w:rPr>
          <w:rFonts w:ascii="Calibri" w:eastAsia="Calibri" w:hAnsi="Calibri" w:cs="Arial"/>
          <w:b/>
          <w:bCs/>
          <w:kern w:val="0"/>
          <w:sz w:val="22"/>
          <w:szCs w:val="22"/>
          <w:lang w:val="en-US"/>
          <w14:ligatures w14:val="none"/>
        </w:rPr>
        <w:t>.</w:t>
      </w:r>
    </w:p>
    <w:p w14:paraId="3FA15AFB" w14:textId="5B29EC81" w:rsidR="00E16614" w:rsidRPr="00E16614" w:rsidRDefault="00E16614" w:rsidP="00E16614">
      <w:pPr>
        <w:bidi/>
        <w:spacing w:line="259" w:lineRule="auto"/>
        <w:rPr>
          <w:rFonts w:ascii="Calibri" w:eastAsia="Calibri" w:hAnsi="Calibri" w:cs="Arial"/>
          <w:kern w:val="0"/>
          <w:sz w:val="22"/>
          <w:szCs w:val="22"/>
          <w:lang w:val="en-US"/>
          <w14:ligatures w14:val="none"/>
        </w:rPr>
      </w:pPr>
      <w:r w:rsidRPr="00E16614">
        <w:rPr>
          <w:rFonts w:ascii="Calibri" w:eastAsia="Calibri" w:hAnsi="Calibri" w:cs="Arial"/>
          <w:b/>
          <w:bCs/>
          <w:kern w:val="0"/>
          <w:sz w:val="22"/>
          <w:szCs w:val="22"/>
          <w:rtl/>
          <w:lang w:val="en-US"/>
          <w14:ligatures w14:val="none"/>
        </w:rPr>
        <w:t>סיפור הצלחה</w:t>
      </w:r>
      <w:r w:rsidRPr="00E16614">
        <w:rPr>
          <w:rFonts w:ascii="Calibri" w:eastAsia="Calibri" w:hAnsi="Calibri" w:cs="Arial"/>
          <w:b/>
          <w:bCs/>
          <w:kern w:val="0"/>
          <w:sz w:val="22"/>
          <w:szCs w:val="22"/>
          <w:lang w:val="en-US"/>
          <w14:ligatures w14:val="none"/>
        </w:rPr>
        <w:t>:</w:t>
      </w:r>
      <w:r w:rsidRPr="00E16614">
        <w:rPr>
          <w:rFonts w:ascii="Calibri" w:eastAsia="Calibri" w:hAnsi="Calibri" w:cs="Arial"/>
          <w:kern w:val="0"/>
          <w:sz w:val="22"/>
          <w:szCs w:val="22"/>
          <w:lang w:val="en-US"/>
          <w14:ligatures w14:val="none"/>
        </w:rPr>
        <w:br/>
      </w:r>
      <w:r w:rsidRPr="00E16614">
        <w:rPr>
          <w:rFonts w:ascii="Calibri" w:eastAsia="Calibri" w:hAnsi="Calibri" w:cs="Arial"/>
          <w:kern w:val="0"/>
          <w:sz w:val="22"/>
          <w:szCs w:val="22"/>
          <w:rtl/>
          <w:lang w:val="en-US"/>
          <w14:ligatures w14:val="none"/>
        </w:rPr>
        <w:t xml:space="preserve">משרדנו ייצג את בעל דירה </w:t>
      </w:r>
      <w:r>
        <w:rPr>
          <w:rFonts w:ascii="Calibri" w:eastAsia="Calibri" w:hAnsi="Calibri" w:cs="Arial" w:hint="cs"/>
          <w:kern w:val="0"/>
          <w:sz w:val="22"/>
          <w:szCs w:val="22"/>
          <w:rtl/>
          <w:lang w:val="en-US"/>
          <w14:ligatures w14:val="none"/>
        </w:rPr>
        <w:t>ב</w:t>
      </w:r>
      <w:r w:rsidRPr="00E16614">
        <w:rPr>
          <w:rFonts w:ascii="Calibri" w:eastAsia="Calibri" w:hAnsi="Calibri" w:cs="Arial"/>
          <w:kern w:val="0"/>
          <w:sz w:val="22"/>
          <w:szCs w:val="22"/>
          <w:rtl/>
          <w:lang w:val="en-US"/>
          <w14:ligatures w14:val="none"/>
        </w:rPr>
        <w:t>טירת הכרמל, אשר גילה כי שכנו הצמוד בקומה השביעית התקין דלת זכוכית עם מנעול ומצלמת אבטחה בשטח המשותף, חסם את מעבר האוויר באמצעות בד יוטה והציב חפצים ואף פסולת בסמוך לדלת הכניסה. בנייה זו חסמה גישה לניקוז ויצרה מטרד קבוע לשימוש הסביר בשטח המשותף</w:t>
      </w:r>
      <w:r w:rsidRPr="00E16614">
        <w:rPr>
          <w:rFonts w:ascii="Calibri" w:eastAsia="Calibri" w:hAnsi="Calibri" w:cs="Arial"/>
          <w:kern w:val="0"/>
          <w:sz w:val="22"/>
          <w:szCs w:val="22"/>
          <w:lang w:val="en-US"/>
          <w14:ligatures w14:val="none"/>
        </w:rPr>
        <w:t>.</w:t>
      </w:r>
    </w:p>
    <w:p w14:paraId="2C2C3084" w14:textId="77777777" w:rsidR="00E16614" w:rsidRPr="00E16614" w:rsidRDefault="00E16614" w:rsidP="00E16614">
      <w:pPr>
        <w:bidi/>
        <w:spacing w:line="259" w:lineRule="auto"/>
        <w:rPr>
          <w:rFonts w:ascii="Calibri" w:eastAsia="Calibri" w:hAnsi="Calibri" w:cs="Arial"/>
          <w:kern w:val="0"/>
          <w:sz w:val="22"/>
          <w:szCs w:val="22"/>
          <w:lang w:val="en-US"/>
          <w14:ligatures w14:val="none"/>
        </w:rPr>
      </w:pPr>
      <w:r w:rsidRPr="00E16614">
        <w:rPr>
          <w:rFonts w:ascii="Calibri" w:eastAsia="Calibri" w:hAnsi="Calibri" w:cs="Arial"/>
          <w:b/>
          <w:bCs/>
          <w:kern w:val="0"/>
          <w:sz w:val="22"/>
          <w:szCs w:val="22"/>
          <w:rtl/>
          <w:lang w:val="en-US"/>
          <w14:ligatures w14:val="none"/>
        </w:rPr>
        <w:t>האסטרטגיה המשפטית שלנו</w:t>
      </w:r>
      <w:r w:rsidRPr="00E16614">
        <w:rPr>
          <w:rFonts w:ascii="Calibri" w:eastAsia="Calibri" w:hAnsi="Calibri" w:cs="Arial"/>
          <w:b/>
          <w:bCs/>
          <w:kern w:val="0"/>
          <w:sz w:val="22"/>
          <w:szCs w:val="22"/>
          <w:lang w:val="en-US"/>
          <w14:ligatures w14:val="none"/>
        </w:rPr>
        <w:t>:</w:t>
      </w:r>
    </w:p>
    <w:p w14:paraId="364E0FEB" w14:textId="77777777" w:rsidR="00E16614" w:rsidRPr="00E16614" w:rsidRDefault="00E16614" w:rsidP="00E16614">
      <w:pPr>
        <w:numPr>
          <w:ilvl w:val="0"/>
          <w:numId w:val="1"/>
        </w:numPr>
        <w:bidi/>
        <w:spacing w:line="259" w:lineRule="auto"/>
        <w:rPr>
          <w:rFonts w:ascii="Calibri" w:eastAsia="Calibri" w:hAnsi="Calibri" w:cs="Arial"/>
          <w:kern w:val="0"/>
          <w:sz w:val="22"/>
          <w:szCs w:val="22"/>
          <w:lang w:val="en-US"/>
          <w14:ligatures w14:val="none"/>
        </w:rPr>
      </w:pPr>
      <w:r w:rsidRPr="00E16614">
        <w:rPr>
          <w:rFonts w:ascii="Calibri" w:eastAsia="Calibri" w:hAnsi="Calibri" w:cs="Arial"/>
          <w:b/>
          <w:bCs/>
          <w:kern w:val="0"/>
          <w:sz w:val="22"/>
          <w:szCs w:val="22"/>
          <w:rtl/>
          <w:lang w:val="en-US"/>
          <w14:ligatures w14:val="none"/>
        </w:rPr>
        <w:t>התמקדות בזכויות הקנייניות</w:t>
      </w:r>
      <w:r w:rsidRPr="00E16614">
        <w:rPr>
          <w:rFonts w:ascii="Calibri" w:eastAsia="Calibri" w:hAnsi="Calibri" w:cs="Arial"/>
          <w:kern w:val="0"/>
          <w:sz w:val="22"/>
          <w:szCs w:val="22"/>
          <w:rtl/>
          <w:lang w:val="en-US"/>
          <w14:ligatures w14:val="none"/>
        </w:rPr>
        <w:t xml:space="preserve"> </w:t>
      </w:r>
      <w:r w:rsidRPr="00E16614">
        <w:rPr>
          <w:rFonts w:ascii="Calibri" w:eastAsia="Calibri" w:hAnsi="Calibri" w:cs="Arial"/>
          <w:kern w:val="0"/>
          <w:sz w:val="22"/>
          <w:szCs w:val="22"/>
          <w:lang w:val="en-US"/>
          <w14:ligatures w14:val="none"/>
        </w:rPr>
        <w:t xml:space="preserve">– </w:t>
      </w:r>
      <w:r w:rsidRPr="00E16614">
        <w:rPr>
          <w:rFonts w:ascii="Calibri" w:eastAsia="Calibri" w:hAnsi="Calibri" w:cs="Arial"/>
          <w:kern w:val="0"/>
          <w:sz w:val="22"/>
          <w:szCs w:val="22"/>
          <w:rtl/>
          <w:lang w:val="en-US"/>
          <w14:ligatures w14:val="none"/>
        </w:rPr>
        <w:t>הדגשנו כי אין לבניין תקנון מוסכם ולכן חל התקנון המצוי, האוסר הצבת חפצים או בנייה ברכוש המשותף ללא הסכמה</w:t>
      </w:r>
      <w:r w:rsidRPr="00E16614">
        <w:rPr>
          <w:rFonts w:ascii="Calibri" w:eastAsia="Calibri" w:hAnsi="Calibri" w:cs="Arial"/>
          <w:kern w:val="0"/>
          <w:sz w:val="22"/>
          <w:szCs w:val="22"/>
          <w:lang w:val="en-US"/>
          <w14:ligatures w14:val="none"/>
        </w:rPr>
        <w:t>.</w:t>
      </w:r>
    </w:p>
    <w:p w14:paraId="6BC58DA6" w14:textId="77777777" w:rsidR="00E16614" w:rsidRPr="00E16614" w:rsidRDefault="00E16614" w:rsidP="00E16614">
      <w:pPr>
        <w:numPr>
          <w:ilvl w:val="0"/>
          <w:numId w:val="1"/>
        </w:numPr>
        <w:bidi/>
        <w:spacing w:line="259" w:lineRule="auto"/>
        <w:rPr>
          <w:rFonts w:ascii="Calibri" w:eastAsia="Calibri" w:hAnsi="Calibri" w:cs="Arial"/>
          <w:kern w:val="0"/>
          <w:sz w:val="22"/>
          <w:szCs w:val="22"/>
          <w:lang w:val="en-US"/>
          <w14:ligatures w14:val="none"/>
        </w:rPr>
      </w:pPr>
      <w:r w:rsidRPr="00E16614">
        <w:rPr>
          <w:rFonts w:ascii="Calibri" w:eastAsia="Calibri" w:hAnsi="Calibri" w:cs="Arial"/>
          <w:b/>
          <w:bCs/>
          <w:kern w:val="0"/>
          <w:sz w:val="22"/>
          <w:szCs w:val="22"/>
          <w:rtl/>
          <w:lang w:val="en-US"/>
          <w14:ligatures w14:val="none"/>
        </w:rPr>
        <w:t>הצגת תיעוד חזותי</w:t>
      </w:r>
      <w:r w:rsidRPr="00E16614">
        <w:rPr>
          <w:rFonts w:ascii="Calibri" w:eastAsia="Calibri" w:hAnsi="Calibri" w:cs="Arial"/>
          <w:kern w:val="0"/>
          <w:sz w:val="22"/>
          <w:szCs w:val="22"/>
          <w:rtl/>
          <w:lang w:val="en-US"/>
          <w14:ligatures w14:val="none"/>
        </w:rPr>
        <w:t xml:space="preserve"> </w:t>
      </w:r>
      <w:r w:rsidRPr="00E16614">
        <w:rPr>
          <w:rFonts w:ascii="Calibri" w:eastAsia="Calibri" w:hAnsi="Calibri" w:cs="Arial"/>
          <w:kern w:val="0"/>
          <w:sz w:val="22"/>
          <w:szCs w:val="22"/>
          <w:lang w:val="en-US"/>
          <w14:ligatures w14:val="none"/>
        </w:rPr>
        <w:t xml:space="preserve">– </w:t>
      </w:r>
      <w:r w:rsidRPr="00E16614">
        <w:rPr>
          <w:rFonts w:ascii="Calibri" w:eastAsia="Calibri" w:hAnsi="Calibri" w:cs="Arial"/>
          <w:kern w:val="0"/>
          <w:sz w:val="22"/>
          <w:szCs w:val="22"/>
          <w:rtl/>
          <w:lang w:val="en-US"/>
          <w14:ligatures w14:val="none"/>
        </w:rPr>
        <w:t>צרפנו תמונות ברורות של הדלת, החפצים, בד היוטה ומיקום הניקוז החסום, להמחשת הפגיעה בשימוש המשותף</w:t>
      </w:r>
      <w:r w:rsidRPr="00E16614">
        <w:rPr>
          <w:rFonts w:ascii="Calibri" w:eastAsia="Calibri" w:hAnsi="Calibri" w:cs="Arial"/>
          <w:kern w:val="0"/>
          <w:sz w:val="22"/>
          <w:szCs w:val="22"/>
          <w:lang w:val="en-US"/>
          <w14:ligatures w14:val="none"/>
        </w:rPr>
        <w:t>.</w:t>
      </w:r>
    </w:p>
    <w:p w14:paraId="14D80CFF" w14:textId="77777777" w:rsidR="00E16614" w:rsidRPr="00E16614" w:rsidRDefault="00E16614" w:rsidP="00E16614">
      <w:pPr>
        <w:numPr>
          <w:ilvl w:val="0"/>
          <w:numId w:val="1"/>
        </w:numPr>
        <w:bidi/>
        <w:spacing w:line="259" w:lineRule="auto"/>
        <w:rPr>
          <w:rFonts w:ascii="Calibri" w:eastAsia="Calibri" w:hAnsi="Calibri" w:cs="Arial"/>
          <w:kern w:val="0"/>
          <w:sz w:val="22"/>
          <w:szCs w:val="22"/>
          <w:lang w:val="en-US"/>
          <w14:ligatures w14:val="none"/>
        </w:rPr>
      </w:pPr>
      <w:r w:rsidRPr="00E16614">
        <w:rPr>
          <w:rFonts w:ascii="Calibri" w:eastAsia="Calibri" w:hAnsi="Calibri" w:cs="Arial"/>
          <w:b/>
          <w:bCs/>
          <w:kern w:val="0"/>
          <w:sz w:val="22"/>
          <w:szCs w:val="22"/>
          <w:rtl/>
          <w:lang w:val="en-US"/>
          <w14:ligatures w14:val="none"/>
        </w:rPr>
        <w:t>חסימת ניסיונות דחייה מיותרים</w:t>
      </w:r>
      <w:r w:rsidRPr="00E16614">
        <w:rPr>
          <w:rFonts w:ascii="Calibri" w:eastAsia="Calibri" w:hAnsi="Calibri" w:cs="Arial"/>
          <w:kern w:val="0"/>
          <w:sz w:val="22"/>
          <w:szCs w:val="22"/>
          <w:rtl/>
          <w:lang w:val="en-US"/>
          <w14:ligatures w14:val="none"/>
        </w:rPr>
        <w:t xml:space="preserve"> </w:t>
      </w:r>
      <w:r w:rsidRPr="00E16614">
        <w:rPr>
          <w:rFonts w:ascii="Calibri" w:eastAsia="Calibri" w:hAnsi="Calibri" w:cs="Arial"/>
          <w:kern w:val="0"/>
          <w:sz w:val="22"/>
          <w:szCs w:val="22"/>
          <w:lang w:val="en-US"/>
          <w14:ligatures w14:val="none"/>
        </w:rPr>
        <w:t xml:space="preserve">– </w:t>
      </w:r>
      <w:r w:rsidRPr="00E16614">
        <w:rPr>
          <w:rFonts w:ascii="Calibri" w:eastAsia="Calibri" w:hAnsi="Calibri" w:cs="Arial"/>
          <w:kern w:val="0"/>
          <w:sz w:val="22"/>
          <w:szCs w:val="22"/>
          <w:rtl/>
          <w:lang w:val="en-US"/>
          <w14:ligatures w14:val="none"/>
        </w:rPr>
        <w:t>הבקשה של הנתבע לדחות את מועד הדיון לצורך הגשת כתב הגנה נדחתה, לאחר שהוכחנו כי המסירה בוצעה כדין</w:t>
      </w:r>
      <w:r w:rsidRPr="00E16614">
        <w:rPr>
          <w:rFonts w:ascii="Calibri" w:eastAsia="Calibri" w:hAnsi="Calibri" w:cs="Arial"/>
          <w:kern w:val="0"/>
          <w:sz w:val="22"/>
          <w:szCs w:val="22"/>
          <w:lang w:val="en-US"/>
          <w14:ligatures w14:val="none"/>
        </w:rPr>
        <w:t>.</w:t>
      </w:r>
    </w:p>
    <w:p w14:paraId="3F77577F" w14:textId="77777777" w:rsidR="00E16614" w:rsidRPr="00E16614" w:rsidRDefault="00E16614" w:rsidP="00E16614">
      <w:pPr>
        <w:numPr>
          <w:ilvl w:val="0"/>
          <w:numId w:val="1"/>
        </w:numPr>
        <w:bidi/>
        <w:spacing w:line="259" w:lineRule="auto"/>
        <w:rPr>
          <w:rFonts w:ascii="Calibri" w:eastAsia="Calibri" w:hAnsi="Calibri" w:cs="Arial"/>
          <w:kern w:val="0"/>
          <w:sz w:val="22"/>
          <w:szCs w:val="22"/>
          <w:lang w:val="en-US"/>
          <w14:ligatures w14:val="none"/>
        </w:rPr>
      </w:pPr>
      <w:r w:rsidRPr="00E16614">
        <w:rPr>
          <w:rFonts w:ascii="Calibri" w:eastAsia="Calibri" w:hAnsi="Calibri" w:cs="Arial"/>
          <w:b/>
          <w:bCs/>
          <w:kern w:val="0"/>
          <w:sz w:val="22"/>
          <w:szCs w:val="22"/>
          <w:rtl/>
          <w:lang w:val="en-US"/>
          <w14:ligatures w14:val="none"/>
        </w:rPr>
        <w:t>חיזוק עמדת התובע</w:t>
      </w:r>
      <w:r w:rsidRPr="00E16614">
        <w:rPr>
          <w:rFonts w:ascii="Calibri" w:eastAsia="Calibri" w:hAnsi="Calibri" w:cs="Arial"/>
          <w:kern w:val="0"/>
          <w:sz w:val="22"/>
          <w:szCs w:val="22"/>
          <w:rtl/>
          <w:lang w:val="en-US"/>
          <w14:ligatures w14:val="none"/>
        </w:rPr>
        <w:t xml:space="preserve"> </w:t>
      </w:r>
      <w:r w:rsidRPr="00E16614">
        <w:rPr>
          <w:rFonts w:ascii="Calibri" w:eastAsia="Calibri" w:hAnsi="Calibri" w:cs="Arial"/>
          <w:kern w:val="0"/>
          <w:sz w:val="22"/>
          <w:szCs w:val="22"/>
          <w:lang w:val="en-US"/>
          <w14:ligatures w14:val="none"/>
        </w:rPr>
        <w:t xml:space="preserve">– </w:t>
      </w:r>
      <w:r w:rsidRPr="00E16614">
        <w:rPr>
          <w:rFonts w:ascii="Calibri" w:eastAsia="Calibri" w:hAnsi="Calibri" w:cs="Arial"/>
          <w:kern w:val="0"/>
          <w:sz w:val="22"/>
          <w:szCs w:val="22"/>
          <w:rtl/>
          <w:lang w:val="en-US"/>
          <w14:ligatures w14:val="none"/>
        </w:rPr>
        <w:t>הראינו שההתקנה פוגעת לא רק בזכות המעבר אלא גם בגישה לתשתיות חיוניות, ומעמידה את יתר הדיירים בסיכון תחזוקתי ותברואתי</w:t>
      </w:r>
      <w:r w:rsidRPr="00E16614">
        <w:rPr>
          <w:rFonts w:ascii="Calibri" w:eastAsia="Calibri" w:hAnsi="Calibri" w:cs="Arial"/>
          <w:kern w:val="0"/>
          <w:sz w:val="22"/>
          <w:szCs w:val="22"/>
          <w:lang w:val="en-US"/>
          <w14:ligatures w14:val="none"/>
        </w:rPr>
        <w:t>.</w:t>
      </w:r>
    </w:p>
    <w:p w14:paraId="60647A34" w14:textId="77777777" w:rsidR="00E16614" w:rsidRPr="00E16614" w:rsidRDefault="00E16614" w:rsidP="00E16614">
      <w:pPr>
        <w:bidi/>
        <w:spacing w:line="259" w:lineRule="auto"/>
        <w:rPr>
          <w:rFonts w:ascii="Calibri" w:eastAsia="Calibri" w:hAnsi="Calibri" w:cs="Arial"/>
          <w:kern w:val="0"/>
          <w:sz w:val="22"/>
          <w:szCs w:val="22"/>
          <w:lang w:val="en-US"/>
          <w14:ligatures w14:val="none"/>
        </w:rPr>
      </w:pPr>
      <w:r w:rsidRPr="00E16614">
        <w:rPr>
          <w:rFonts w:ascii="Calibri" w:eastAsia="Calibri" w:hAnsi="Calibri" w:cs="Arial"/>
          <w:b/>
          <w:bCs/>
          <w:kern w:val="0"/>
          <w:sz w:val="22"/>
          <w:szCs w:val="22"/>
          <w:rtl/>
          <w:lang w:val="en-US"/>
          <w14:ligatures w14:val="none"/>
        </w:rPr>
        <w:t>התוצאה</w:t>
      </w:r>
      <w:r w:rsidRPr="00E16614">
        <w:rPr>
          <w:rFonts w:ascii="Calibri" w:eastAsia="Calibri" w:hAnsi="Calibri" w:cs="Arial"/>
          <w:b/>
          <w:bCs/>
          <w:kern w:val="0"/>
          <w:sz w:val="22"/>
          <w:szCs w:val="22"/>
          <w:lang w:val="en-US"/>
          <w14:ligatures w14:val="none"/>
        </w:rPr>
        <w:t>:</w:t>
      </w:r>
      <w:r w:rsidRPr="00E16614">
        <w:rPr>
          <w:rFonts w:ascii="Calibri" w:eastAsia="Calibri" w:hAnsi="Calibri" w:cs="Arial"/>
          <w:kern w:val="0"/>
          <w:sz w:val="22"/>
          <w:szCs w:val="22"/>
          <w:lang w:val="en-US"/>
          <w14:ligatures w14:val="none"/>
        </w:rPr>
        <w:br/>
      </w:r>
      <w:r w:rsidRPr="00E16614">
        <w:rPr>
          <w:rFonts w:ascii="Calibri" w:eastAsia="Calibri" w:hAnsi="Calibri" w:cs="Arial"/>
          <w:kern w:val="0"/>
          <w:sz w:val="22"/>
          <w:szCs w:val="22"/>
          <w:rtl/>
          <w:lang w:val="en-US"/>
          <w14:ligatures w14:val="none"/>
        </w:rPr>
        <w:t>הונחה תשתית ראייתית חזקה להוצאת צו עשה לפירוק הדלת והחזרת המצב לקדמותו, יחד עם איסור הצבת חפצים או אשפה בשטח המשותף. הצלחנו למנוע עיכובים דיוניים ולאפשר לתיק להתקדם במהירות</w:t>
      </w:r>
      <w:r w:rsidRPr="00E16614">
        <w:rPr>
          <w:rFonts w:ascii="Calibri" w:eastAsia="Calibri" w:hAnsi="Calibri" w:cs="Arial"/>
          <w:kern w:val="0"/>
          <w:sz w:val="22"/>
          <w:szCs w:val="22"/>
          <w:lang w:val="en-US"/>
          <w14:ligatures w14:val="none"/>
        </w:rPr>
        <w:t>.</w:t>
      </w:r>
    </w:p>
    <w:p w14:paraId="48A3FBF1" w14:textId="77777777" w:rsidR="00E16614" w:rsidRPr="00E16614" w:rsidRDefault="00E16614">
      <w:pPr>
        <w:rPr>
          <w:lang w:val="en-US"/>
        </w:rPr>
      </w:pPr>
    </w:p>
    <w:sectPr w:rsidR="00E16614" w:rsidRPr="00E166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B4005B"/>
    <w:multiLevelType w:val="multilevel"/>
    <w:tmpl w:val="920EB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097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614"/>
    <w:rsid w:val="00E16614"/>
    <w:rsid w:val="00E2464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D7E65"/>
  <w15:chartTrackingRefBased/>
  <w15:docId w15:val="{DA304A3D-5F80-4FD2-8469-CBC157DD1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66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66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66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66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66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66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66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66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66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6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66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66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66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66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66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66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66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6614"/>
    <w:rPr>
      <w:rFonts w:eastAsiaTheme="majorEastAsia" w:cstheme="majorBidi"/>
      <w:color w:val="272727" w:themeColor="text1" w:themeTint="D8"/>
    </w:rPr>
  </w:style>
  <w:style w:type="paragraph" w:styleId="Title">
    <w:name w:val="Title"/>
    <w:basedOn w:val="Normal"/>
    <w:next w:val="Normal"/>
    <w:link w:val="TitleChar"/>
    <w:uiPriority w:val="10"/>
    <w:qFormat/>
    <w:rsid w:val="00E166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66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66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66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6614"/>
    <w:pPr>
      <w:spacing w:before="160"/>
      <w:jc w:val="center"/>
    </w:pPr>
    <w:rPr>
      <w:i/>
      <w:iCs/>
      <w:color w:val="404040" w:themeColor="text1" w:themeTint="BF"/>
    </w:rPr>
  </w:style>
  <w:style w:type="character" w:customStyle="1" w:styleId="QuoteChar">
    <w:name w:val="Quote Char"/>
    <w:basedOn w:val="DefaultParagraphFont"/>
    <w:link w:val="Quote"/>
    <w:uiPriority w:val="29"/>
    <w:rsid w:val="00E16614"/>
    <w:rPr>
      <w:i/>
      <w:iCs/>
      <w:color w:val="404040" w:themeColor="text1" w:themeTint="BF"/>
    </w:rPr>
  </w:style>
  <w:style w:type="paragraph" w:styleId="ListParagraph">
    <w:name w:val="List Paragraph"/>
    <w:basedOn w:val="Normal"/>
    <w:uiPriority w:val="34"/>
    <w:qFormat/>
    <w:rsid w:val="00E16614"/>
    <w:pPr>
      <w:ind w:left="720"/>
      <w:contextualSpacing/>
    </w:pPr>
  </w:style>
  <w:style w:type="character" w:styleId="IntenseEmphasis">
    <w:name w:val="Intense Emphasis"/>
    <w:basedOn w:val="DefaultParagraphFont"/>
    <w:uiPriority w:val="21"/>
    <w:qFormat/>
    <w:rsid w:val="00E16614"/>
    <w:rPr>
      <w:i/>
      <w:iCs/>
      <w:color w:val="0F4761" w:themeColor="accent1" w:themeShade="BF"/>
    </w:rPr>
  </w:style>
  <w:style w:type="paragraph" w:styleId="IntenseQuote">
    <w:name w:val="Intense Quote"/>
    <w:basedOn w:val="Normal"/>
    <w:next w:val="Normal"/>
    <w:link w:val="IntenseQuoteChar"/>
    <w:uiPriority w:val="30"/>
    <w:qFormat/>
    <w:rsid w:val="00E166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6614"/>
    <w:rPr>
      <w:i/>
      <w:iCs/>
      <w:color w:val="0F4761" w:themeColor="accent1" w:themeShade="BF"/>
    </w:rPr>
  </w:style>
  <w:style w:type="character" w:styleId="IntenseReference">
    <w:name w:val="Intense Reference"/>
    <w:basedOn w:val="DefaultParagraphFont"/>
    <w:uiPriority w:val="32"/>
    <w:qFormat/>
    <w:rsid w:val="00E166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159</Words>
  <Characters>912</Characters>
  <Application>Microsoft Office Word</Application>
  <DocSecurity>0</DocSecurity>
  <Lines>7</Lines>
  <Paragraphs>2</Paragraphs>
  <ScaleCrop>false</ScaleCrop>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 vika</dc:creator>
  <cp:keywords/>
  <dc:description/>
  <cp:lastModifiedBy>az vika</cp:lastModifiedBy>
  <cp:revision>1</cp:revision>
  <dcterms:created xsi:type="dcterms:W3CDTF">2025-09-03T08:28:00Z</dcterms:created>
  <dcterms:modified xsi:type="dcterms:W3CDTF">2025-09-03T08:29:00Z</dcterms:modified>
</cp:coreProperties>
</file>