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EE8D" w14:textId="77777777" w:rsidR="006A4E41" w:rsidRPr="006A4E41" w:rsidRDefault="006A4E41" w:rsidP="006A4E41">
      <w:p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b/>
          <w:bCs/>
          <w:kern w:val="0"/>
          <w:sz w:val="22"/>
          <w:szCs w:val="22"/>
          <w:rtl/>
          <w:lang w:val="en-US"/>
          <w14:ligatures w14:val="none"/>
        </w:rPr>
        <w:t>סיפור הצלחה – מניעת פגיעה בזכויות קניין ובאיכות חיים</w:t>
      </w:r>
      <w:r w:rsidRPr="006A4E41">
        <w:rPr>
          <w:rFonts w:ascii="Calibri" w:eastAsia="Calibri" w:hAnsi="Calibri" w:cs="Arial" w:hint="cs"/>
          <w:b/>
          <w:bCs/>
          <w:kern w:val="0"/>
          <w:sz w:val="22"/>
          <w:szCs w:val="22"/>
          <w:rtl/>
          <w:lang w:val="en-US"/>
          <w14:ligatures w14:val="none"/>
        </w:rPr>
        <w:t>- בניית ממ"ד ללא הסכמה</w:t>
      </w:r>
    </w:p>
    <w:p w14:paraId="2A1A459B" w14:textId="77777777" w:rsidR="006A4E41" w:rsidRPr="006A4E41" w:rsidRDefault="006A4E41" w:rsidP="006A4E41">
      <w:p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בפרויקט מורכב שדרש שילוב של מומחיות משפטית, ידע תכנוני והבנה עמוקה של דיני המקרקעין, ייצג משרדנו בעלת דירה שנאלצה להתמודד עם תכנית בנייה פולשנית של שכן, אשר ביקש להקים ממ"ד על שטח השייך לה, תוך חסימת חזיתות הדירה והסבת נזק חמור הן לאיכות חייה והן לערך הנכס שלה</w:t>
      </w:r>
      <w:r w:rsidRPr="006A4E41">
        <w:rPr>
          <w:rFonts w:ascii="Calibri" w:eastAsia="Calibri" w:hAnsi="Calibri" w:cs="Arial"/>
          <w:kern w:val="0"/>
          <w:sz w:val="22"/>
          <w:szCs w:val="22"/>
          <w:lang w:val="en-US"/>
          <w14:ligatures w14:val="none"/>
        </w:rPr>
        <w:t>.</w:t>
      </w:r>
    </w:p>
    <w:p w14:paraId="4CED0F7E" w14:textId="77777777" w:rsidR="006A4E41" w:rsidRPr="006A4E41" w:rsidRDefault="006A4E41" w:rsidP="006A4E41">
      <w:p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 xml:space="preserve">האתגר המרכזי היה בכך שהצד השני טען שיש לו רוב מספיק על פי החוק לצורך ביצוע הבנייה, ואף הציג מסמכים מהוועדה המקומית, פרוטוקולי </w:t>
      </w:r>
      <w:proofErr w:type="spellStart"/>
      <w:r w:rsidRPr="006A4E41">
        <w:rPr>
          <w:rFonts w:ascii="Calibri" w:eastAsia="Calibri" w:hAnsi="Calibri" w:cs="Arial"/>
          <w:kern w:val="0"/>
          <w:sz w:val="22"/>
          <w:szCs w:val="22"/>
          <w:rtl/>
          <w:lang w:val="en-US"/>
          <w14:ligatures w14:val="none"/>
        </w:rPr>
        <w:t>אסיפות</w:t>
      </w:r>
      <w:proofErr w:type="spellEnd"/>
      <w:r w:rsidRPr="006A4E41">
        <w:rPr>
          <w:rFonts w:ascii="Calibri" w:eastAsia="Calibri" w:hAnsi="Calibri" w:cs="Arial"/>
          <w:kern w:val="0"/>
          <w:sz w:val="22"/>
          <w:szCs w:val="22"/>
          <w:rtl/>
          <w:lang w:val="en-US"/>
          <w14:ligatures w14:val="none"/>
        </w:rPr>
        <w:t xml:space="preserve"> וחתימות של יתר הדיירים. עלינו היה להוכיח כי הבנייה המבוקשת מהווה פגיעה מהותית בזכויות הקניין של לקוחתנו, וכי קיימות חלופות תכנוניות ישימות שלא ינציחו את הפגיעה</w:t>
      </w:r>
      <w:r w:rsidRPr="006A4E41">
        <w:rPr>
          <w:rFonts w:ascii="Calibri" w:eastAsia="Calibri" w:hAnsi="Calibri" w:cs="Arial"/>
          <w:kern w:val="0"/>
          <w:sz w:val="22"/>
          <w:szCs w:val="22"/>
          <w:lang w:val="en-US"/>
          <w14:ligatures w14:val="none"/>
        </w:rPr>
        <w:t>.</w:t>
      </w:r>
    </w:p>
    <w:p w14:paraId="3D7839DA" w14:textId="77777777" w:rsidR="006A4E41" w:rsidRPr="006A4E41" w:rsidRDefault="006A4E41" w:rsidP="006A4E41">
      <w:p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במהלך ההליך, הצגנו</w:t>
      </w:r>
      <w:r w:rsidRPr="006A4E41">
        <w:rPr>
          <w:rFonts w:ascii="Calibri" w:eastAsia="Calibri" w:hAnsi="Calibri" w:cs="Arial"/>
          <w:kern w:val="0"/>
          <w:sz w:val="22"/>
          <w:szCs w:val="22"/>
          <w:lang w:val="en-US"/>
          <w14:ligatures w14:val="none"/>
        </w:rPr>
        <w:t>:</w:t>
      </w:r>
    </w:p>
    <w:p w14:paraId="48503B4F" w14:textId="77777777" w:rsidR="006A4E41" w:rsidRPr="006A4E41" w:rsidRDefault="006A4E41" w:rsidP="006A4E41">
      <w:pPr>
        <w:numPr>
          <w:ilvl w:val="0"/>
          <w:numId w:val="1"/>
        </w:num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ראיות ברורות לפגיעה הפיזית, הכלכלית והבריאותית שתיגרם</w:t>
      </w:r>
      <w:r w:rsidRPr="006A4E41">
        <w:rPr>
          <w:rFonts w:ascii="Calibri" w:eastAsia="Calibri" w:hAnsi="Calibri" w:cs="Arial"/>
          <w:kern w:val="0"/>
          <w:sz w:val="22"/>
          <w:szCs w:val="22"/>
          <w:lang w:val="en-US"/>
          <w14:ligatures w14:val="none"/>
        </w:rPr>
        <w:t>.</w:t>
      </w:r>
    </w:p>
    <w:p w14:paraId="49001ABE" w14:textId="77777777" w:rsidR="006A4E41" w:rsidRPr="006A4E41" w:rsidRDefault="006A4E41" w:rsidP="006A4E41">
      <w:pPr>
        <w:numPr>
          <w:ilvl w:val="0"/>
          <w:numId w:val="1"/>
        </w:num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חלופות בנייה אפשריות, מגובות בחוות דעת הנדסיות</w:t>
      </w:r>
      <w:r w:rsidRPr="006A4E41">
        <w:rPr>
          <w:rFonts w:ascii="Calibri" w:eastAsia="Calibri" w:hAnsi="Calibri" w:cs="Arial"/>
          <w:kern w:val="0"/>
          <w:sz w:val="22"/>
          <w:szCs w:val="22"/>
          <w:lang w:val="en-US"/>
          <w14:ligatures w14:val="none"/>
        </w:rPr>
        <w:t>.</w:t>
      </w:r>
    </w:p>
    <w:p w14:paraId="240ECB15" w14:textId="77777777" w:rsidR="006A4E41" w:rsidRPr="006A4E41" w:rsidRDefault="006A4E41" w:rsidP="006A4E41">
      <w:pPr>
        <w:numPr>
          <w:ilvl w:val="0"/>
          <w:numId w:val="1"/>
        </w:num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כשלים בתהליך קבלת ההחלטות של הבניין, לרבות התעלמות מהתנגדות שהוגשה כדין</w:t>
      </w:r>
      <w:r w:rsidRPr="006A4E41">
        <w:rPr>
          <w:rFonts w:ascii="Calibri" w:eastAsia="Calibri" w:hAnsi="Calibri" w:cs="Arial"/>
          <w:kern w:val="0"/>
          <w:sz w:val="22"/>
          <w:szCs w:val="22"/>
          <w:lang w:val="en-US"/>
          <w14:ligatures w14:val="none"/>
        </w:rPr>
        <w:t>.</w:t>
      </w:r>
    </w:p>
    <w:p w14:paraId="6691B939" w14:textId="77777777" w:rsidR="006A4E41" w:rsidRPr="006A4E41" w:rsidRDefault="006A4E41" w:rsidP="006A4E41">
      <w:pPr>
        <w:numPr>
          <w:ilvl w:val="0"/>
          <w:numId w:val="1"/>
        </w:num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ליקויים בתכנון, לרבות חריגות בנייה קיימות של הצד השני</w:t>
      </w:r>
      <w:r w:rsidRPr="006A4E41">
        <w:rPr>
          <w:rFonts w:ascii="Calibri" w:eastAsia="Calibri" w:hAnsi="Calibri" w:cs="Arial"/>
          <w:kern w:val="0"/>
          <w:sz w:val="22"/>
          <w:szCs w:val="22"/>
          <w:lang w:val="en-US"/>
          <w14:ligatures w14:val="none"/>
        </w:rPr>
        <w:t>.</w:t>
      </w:r>
    </w:p>
    <w:p w14:paraId="7F7B9C51" w14:textId="77777777" w:rsidR="006A4E41" w:rsidRPr="006A4E41" w:rsidRDefault="006A4E41" w:rsidP="006A4E41">
      <w:p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הודות לניהול קפדני של ההליך, שילוב טיעונים משפטיים עם מומחיות טכנית, והצגת תמונה מלאה בפני המפקח על רישום המקרקעין – הצלחנו להביא למניעת הבנייה במתכונתה הפוגענית, תוך הגנה מלאה על זכויות לקוחתנו, מניעת הוצאות כלכליות עצומות עבורה, ושימור ערך הנכס ואיכות חייה</w:t>
      </w:r>
      <w:r w:rsidRPr="006A4E41">
        <w:rPr>
          <w:rFonts w:ascii="Calibri" w:eastAsia="Calibri" w:hAnsi="Calibri" w:cs="Arial"/>
          <w:kern w:val="0"/>
          <w:sz w:val="22"/>
          <w:szCs w:val="22"/>
          <w:lang w:val="en-US"/>
          <w14:ligatures w14:val="none"/>
        </w:rPr>
        <w:t>.</w:t>
      </w:r>
    </w:p>
    <w:p w14:paraId="4428BCBF" w14:textId="77777777" w:rsidR="006A4E41" w:rsidRPr="006A4E41" w:rsidRDefault="006A4E41" w:rsidP="006A4E41">
      <w:pPr>
        <w:bidi/>
        <w:spacing w:line="259" w:lineRule="auto"/>
        <w:rPr>
          <w:rFonts w:ascii="Calibri" w:eastAsia="Calibri" w:hAnsi="Calibri" w:cs="Arial"/>
          <w:kern w:val="0"/>
          <w:sz w:val="22"/>
          <w:szCs w:val="22"/>
          <w:lang w:val="en-US"/>
          <w14:ligatures w14:val="none"/>
        </w:rPr>
      </w:pPr>
      <w:r w:rsidRPr="006A4E41">
        <w:rPr>
          <w:rFonts w:ascii="Calibri" w:eastAsia="Calibri" w:hAnsi="Calibri" w:cs="Arial"/>
          <w:kern w:val="0"/>
          <w:sz w:val="22"/>
          <w:szCs w:val="22"/>
          <w:rtl/>
          <w:lang w:val="en-US"/>
          <w14:ligatures w14:val="none"/>
        </w:rPr>
        <w:t>הפרשה הסתיימה לא רק בהצלחה משפטית, אלא גם ביצירת תקדים חשוב בבניין שמונע בעתיד פעולות חד-צדדיות שיכולות לפגוע בשכנים ובזכויותיהם</w:t>
      </w:r>
      <w:r w:rsidRPr="006A4E41">
        <w:rPr>
          <w:rFonts w:ascii="Calibri" w:eastAsia="Calibri" w:hAnsi="Calibri" w:cs="Arial"/>
          <w:kern w:val="0"/>
          <w:sz w:val="22"/>
          <w:szCs w:val="22"/>
          <w:lang w:val="en-US"/>
          <w14:ligatures w14:val="none"/>
        </w:rPr>
        <w:t>.</w:t>
      </w:r>
    </w:p>
    <w:p w14:paraId="47BA90E7" w14:textId="77777777" w:rsidR="006A4E41" w:rsidRPr="006A4E41" w:rsidRDefault="006A4E41" w:rsidP="006A4E41">
      <w:pPr>
        <w:rPr>
          <w:lang w:val="en-US"/>
        </w:rPr>
      </w:pPr>
    </w:p>
    <w:sectPr w:rsidR="006A4E41" w:rsidRPr="006A4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15A"/>
    <w:multiLevelType w:val="multilevel"/>
    <w:tmpl w:val="131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65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41"/>
    <w:rsid w:val="006A4E41"/>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0EBE"/>
  <w15:chartTrackingRefBased/>
  <w15:docId w15:val="{90953794-FA48-4355-87A3-CE867814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E41"/>
    <w:rPr>
      <w:rFonts w:eastAsiaTheme="majorEastAsia" w:cstheme="majorBidi"/>
      <w:color w:val="272727" w:themeColor="text1" w:themeTint="D8"/>
    </w:rPr>
  </w:style>
  <w:style w:type="paragraph" w:styleId="Title">
    <w:name w:val="Title"/>
    <w:basedOn w:val="Normal"/>
    <w:next w:val="Normal"/>
    <w:link w:val="TitleChar"/>
    <w:uiPriority w:val="10"/>
    <w:qFormat/>
    <w:rsid w:val="006A4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E41"/>
    <w:pPr>
      <w:spacing w:before="160"/>
      <w:jc w:val="center"/>
    </w:pPr>
    <w:rPr>
      <w:i/>
      <w:iCs/>
      <w:color w:val="404040" w:themeColor="text1" w:themeTint="BF"/>
    </w:rPr>
  </w:style>
  <w:style w:type="character" w:customStyle="1" w:styleId="QuoteChar">
    <w:name w:val="Quote Char"/>
    <w:basedOn w:val="DefaultParagraphFont"/>
    <w:link w:val="Quote"/>
    <w:uiPriority w:val="29"/>
    <w:rsid w:val="006A4E41"/>
    <w:rPr>
      <w:i/>
      <w:iCs/>
      <w:color w:val="404040" w:themeColor="text1" w:themeTint="BF"/>
    </w:rPr>
  </w:style>
  <w:style w:type="paragraph" w:styleId="ListParagraph">
    <w:name w:val="List Paragraph"/>
    <w:basedOn w:val="Normal"/>
    <w:uiPriority w:val="34"/>
    <w:qFormat/>
    <w:rsid w:val="006A4E41"/>
    <w:pPr>
      <w:ind w:left="720"/>
      <w:contextualSpacing/>
    </w:pPr>
  </w:style>
  <w:style w:type="character" w:styleId="IntenseEmphasis">
    <w:name w:val="Intense Emphasis"/>
    <w:basedOn w:val="DefaultParagraphFont"/>
    <w:uiPriority w:val="21"/>
    <w:qFormat/>
    <w:rsid w:val="006A4E41"/>
    <w:rPr>
      <w:i/>
      <w:iCs/>
      <w:color w:val="0F4761" w:themeColor="accent1" w:themeShade="BF"/>
    </w:rPr>
  </w:style>
  <w:style w:type="paragraph" w:styleId="IntenseQuote">
    <w:name w:val="Intense Quote"/>
    <w:basedOn w:val="Normal"/>
    <w:next w:val="Normal"/>
    <w:link w:val="IntenseQuoteChar"/>
    <w:uiPriority w:val="30"/>
    <w:qFormat/>
    <w:rsid w:val="006A4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E41"/>
    <w:rPr>
      <w:i/>
      <w:iCs/>
      <w:color w:val="0F4761" w:themeColor="accent1" w:themeShade="BF"/>
    </w:rPr>
  </w:style>
  <w:style w:type="character" w:styleId="IntenseReference">
    <w:name w:val="Intense Reference"/>
    <w:basedOn w:val="DefaultParagraphFont"/>
    <w:uiPriority w:val="32"/>
    <w:qFormat/>
    <w:rsid w:val="006A4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2025-09-03T08:08:00Z</dcterms:created>
  <dcterms:modified xsi:type="dcterms:W3CDTF">2025-09-03T08:09:00Z</dcterms:modified>
</cp:coreProperties>
</file>