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E55AE" w14:textId="77777777" w:rsidR="005B5CF0" w:rsidRPr="005B5CF0" w:rsidRDefault="005B5CF0" w:rsidP="005B5CF0">
      <w:pPr>
        <w:bidi/>
        <w:spacing w:line="259" w:lineRule="auto"/>
        <w:rPr>
          <w:rFonts w:ascii="Calibri" w:eastAsia="Calibri" w:hAnsi="Calibri" w:cs="Arial"/>
          <w:b/>
          <w:bCs/>
          <w:kern w:val="0"/>
          <w:sz w:val="22"/>
          <w:szCs w:val="22"/>
          <w:lang w:val="en-US"/>
          <w14:ligatures w14:val="none"/>
        </w:rPr>
      </w:pPr>
      <w:r w:rsidRPr="005B5CF0">
        <w:rPr>
          <w:rFonts w:ascii="Calibri" w:eastAsia="Calibri" w:hAnsi="Calibri" w:cs="Arial" w:hint="cs"/>
          <w:b/>
          <w:bCs/>
          <w:kern w:val="0"/>
          <w:sz w:val="22"/>
          <w:szCs w:val="22"/>
          <w:rtl/>
          <w:lang w:val="en-US"/>
          <w14:ligatures w14:val="none"/>
        </w:rPr>
        <w:t>נ</w:t>
      </w:r>
      <w:r w:rsidRPr="005B5CF0">
        <w:rPr>
          <w:rFonts w:ascii="Calibri" w:eastAsia="Calibri" w:hAnsi="Calibri" w:cs="Arial"/>
          <w:b/>
          <w:bCs/>
          <w:kern w:val="0"/>
          <w:sz w:val="22"/>
          <w:szCs w:val="22"/>
          <w:rtl/>
          <w:lang w:val="en-US"/>
          <w14:ligatures w14:val="none"/>
        </w:rPr>
        <w:t>ושא</w:t>
      </w:r>
      <w:r w:rsidRPr="005B5CF0">
        <w:rPr>
          <w:rFonts w:ascii="Calibri" w:eastAsia="Calibri" w:hAnsi="Calibri" w:cs="Arial"/>
          <w:b/>
          <w:bCs/>
          <w:kern w:val="0"/>
          <w:sz w:val="22"/>
          <w:szCs w:val="22"/>
          <w:lang w:val="en-US"/>
          <w14:ligatures w14:val="none"/>
        </w:rPr>
        <w:t>:</w:t>
      </w:r>
      <w:r w:rsidRPr="005B5CF0">
        <w:rPr>
          <w:rFonts w:ascii="Calibri" w:eastAsia="Calibri" w:hAnsi="Calibri" w:cs="Arial" w:hint="cs"/>
          <w:b/>
          <w:bCs/>
          <w:kern w:val="0"/>
          <w:sz w:val="22"/>
          <w:szCs w:val="22"/>
          <w:rtl/>
          <w:lang w:val="en-US"/>
          <w14:ligatures w14:val="none"/>
        </w:rPr>
        <w:t xml:space="preserve">  </w:t>
      </w:r>
      <w:r w:rsidRPr="005B5CF0">
        <w:rPr>
          <w:rFonts w:ascii="Calibri" w:eastAsia="Calibri" w:hAnsi="Calibri" w:cs="Arial"/>
          <w:b/>
          <w:bCs/>
          <w:kern w:val="0"/>
          <w:sz w:val="22"/>
          <w:szCs w:val="22"/>
          <w:rtl/>
          <w:lang w:val="en-US"/>
          <w14:ligatures w14:val="none"/>
        </w:rPr>
        <w:t>הגנה מפני תביעה לאישור פרויקט תמ"א 38 – שמירה על זכויות בעלת דירה קשישה בבית משותף</w:t>
      </w:r>
      <w:r w:rsidRPr="005B5CF0">
        <w:rPr>
          <w:rFonts w:ascii="Calibri" w:eastAsia="Calibri" w:hAnsi="Calibri" w:cs="Arial"/>
          <w:b/>
          <w:bCs/>
          <w:kern w:val="0"/>
          <w:sz w:val="22"/>
          <w:szCs w:val="22"/>
          <w:lang w:val="en-US"/>
          <w14:ligatures w14:val="none"/>
        </w:rPr>
        <w:t>.</w:t>
      </w:r>
    </w:p>
    <w:p w14:paraId="4DD9BA32" w14:textId="77777777" w:rsidR="005B5CF0" w:rsidRPr="005B5CF0" w:rsidRDefault="005B5CF0" w:rsidP="005B5CF0">
      <w:pPr>
        <w:bidi/>
        <w:spacing w:line="259" w:lineRule="auto"/>
        <w:rPr>
          <w:rFonts w:ascii="Calibri" w:eastAsia="Calibri" w:hAnsi="Calibri" w:cs="Arial"/>
          <w:kern w:val="0"/>
          <w:sz w:val="22"/>
          <w:szCs w:val="22"/>
          <w:lang w:val="en-US"/>
          <w14:ligatures w14:val="none"/>
        </w:rPr>
      </w:pPr>
      <w:r w:rsidRPr="005B5CF0">
        <w:rPr>
          <w:rFonts w:ascii="Calibri" w:eastAsia="Calibri" w:hAnsi="Calibri" w:cs="Arial"/>
          <w:b/>
          <w:bCs/>
          <w:kern w:val="0"/>
          <w:sz w:val="22"/>
          <w:szCs w:val="22"/>
          <w:rtl/>
          <w:lang w:val="en-US"/>
          <w14:ligatures w14:val="none"/>
        </w:rPr>
        <w:t>סיפור הצלחה</w:t>
      </w:r>
      <w:r w:rsidRPr="005B5CF0">
        <w:rPr>
          <w:rFonts w:ascii="Calibri" w:eastAsia="Calibri" w:hAnsi="Calibri" w:cs="Arial"/>
          <w:b/>
          <w:bCs/>
          <w:kern w:val="0"/>
          <w:sz w:val="22"/>
          <w:szCs w:val="22"/>
          <w:lang w:val="en-US"/>
          <w14:ligatures w14:val="none"/>
        </w:rPr>
        <w:t>:</w:t>
      </w:r>
      <w:r w:rsidRPr="005B5CF0">
        <w:rPr>
          <w:rFonts w:ascii="Calibri" w:eastAsia="Calibri" w:hAnsi="Calibri" w:cs="Arial"/>
          <w:kern w:val="0"/>
          <w:sz w:val="22"/>
          <w:szCs w:val="22"/>
          <w:lang w:val="en-US"/>
          <w14:ligatures w14:val="none"/>
        </w:rPr>
        <w:br/>
      </w:r>
      <w:r w:rsidRPr="005B5CF0">
        <w:rPr>
          <w:rFonts w:ascii="Calibri" w:eastAsia="Calibri" w:hAnsi="Calibri" w:cs="Arial"/>
          <w:kern w:val="0"/>
          <w:sz w:val="22"/>
          <w:szCs w:val="22"/>
          <w:rtl/>
          <w:lang w:val="en-US"/>
          <w14:ligatures w14:val="none"/>
        </w:rPr>
        <w:t>משרדנו ייצג בעלת דירה קשישה, בת 84, המתגוררת בבניין ותיק שבו ביקשו רוב בעלי הדירות לקדם פרויקט תמ"א 38 להריסה ובנייה מחדש. מרשתנו, בעלת דירה בקומת הקרקע, התנגדה לפרויקט, לא מתוך חוסר רצון לשדרוג הבניין, אלא בשל היעדר הצעות הוגנות, חוסר שקיפות והפרת זכויותיה החוקיות כבעלת דירה וכקשישה לפי סעיף 5(ב1) לחוק המקרקעין</w:t>
      </w:r>
      <w:r w:rsidRPr="005B5CF0">
        <w:rPr>
          <w:rFonts w:ascii="Calibri" w:eastAsia="Calibri" w:hAnsi="Calibri" w:cs="Arial"/>
          <w:kern w:val="0"/>
          <w:sz w:val="22"/>
          <w:szCs w:val="22"/>
          <w:lang w:val="en-US"/>
          <w14:ligatures w14:val="none"/>
        </w:rPr>
        <w:t>.</w:t>
      </w:r>
    </w:p>
    <w:p w14:paraId="34C8DCAB" w14:textId="77777777" w:rsidR="005B5CF0" w:rsidRPr="005B5CF0" w:rsidRDefault="005B5CF0" w:rsidP="005B5CF0">
      <w:pPr>
        <w:bidi/>
        <w:spacing w:line="259" w:lineRule="auto"/>
        <w:rPr>
          <w:rFonts w:ascii="Calibri" w:eastAsia="Calibri" w:hAnsi="Calibri" w:cs="Arial"/>
          <w:kern w:val="0"/>
          <w:sz w:val="22"/>
          <w:szCs w:val="22"/>
          <w:lang w:val="en-US"/>
          <w14:ligatures w14:val="none"/>
        </w:rPr>
      </w:pPr>
      <w:r w:rsidRPr="005B5CF0">
        <w:rPr>
          <w:rFonts w:ascii="Calibri" w:eastAsia="Calibri" w:hAnsi="Calibri" w:cs="Arial"/>
          <w:kern w:val="0"/>
          <w:sz w:val="22"/>
          <w:szCs w:val="22"/>
          <w:rtl/>
          <w:lang w:val="en-US"/>
          <w14:ligatures w14:val="none"/>
        </w:rPr>
        <w:t>הוכחנו כי</w:t>
      </w:r>
      <w:r w:rsidRPr="005B5CF0">
        <w:rPr>
          <w:rFonts w:ascii="Calibri" w:eastAsia="Calibri" w:hAnsi="Calibri" w:cs="Arial"/>
          <w:kern w:val="0"/>
          <w:sz w:val="22"/>
          <w:szCs w:val="22"/>
          <w:lang w:val="en-US"/>
          <w14:ligatures w14:val="none"/>
        </w:rPr>
        <w:t>:</w:t>
      </w:r>
    </w:p>
    <w:p w14:paraId="18C6510F" w14:textId="77777777" w:rsidR="005B5CF0" w:rsidRPr="005B5CF0" w:rsidRDefault="005B5CF0" w:rsidP="005B5CF0">
      <w:pPr>
        <w:numPr>
          <w:ilvl w:val="0"/>
          <w:numId w:val="1"/>
        </w:numPr>
        <w:bidi/>
        <w:spacing w:line="259" w:lineRule="auto"/>
        <w:rPr>
          <w:rFonts w:ascii="Calibri" w:eastAsia="Calibri" w:hAnsi="Calibri" w:cs="Arial"/>
          <w:kern w:val="0"/>
          <w:sz w:val="22"/>
          <w:szCs w:val="22"/>
          <w:lang w:val="en-US"/>
          <w14:ligatures w14:val="none"/>
        </w:rPr>
      </w:pPr>
      <w:r w:rsidRPr="005B5CF0">
        <w:rPr>
          <w:rFonts w:ascii="Calibri" w:eastAsia="Calibri" w:hAnsi="Calibri" w:cs="Arial"/>
          <w:kern w:val="0"/>
          <w:sz w:val="22"/>
          <w:szCs w:val="22"/>
          <w:rtl/>
          <w:lang w:val="en-US"/>
          <w14:ligatures w14:val="none"/>
        </w:rPr>
        <w:t>היזם והתובעים נמנעו מהצגת חלופות הולמות למגורים חלופיים במהלך הבנייה, לרבות התאמות נגישות הכרחיות למצבה הרפואי המורכב של מרשתנו</w:t>
      </w:r>
      <w:r w:rsidRPr="005B5CF0">
        <w:rPr>
          <w:rFonts w:ascii="Calibri" w:eastAsia="Calibri" w:hAnsi="Calibri" w:cs="Arial"/>
          <w:kern w:val="0"/>
          <w:sz w:val="22"/>
          <w:szCs w:val="22"/>
          <w:lang w:val="en-US"/>
          <w14:ligatures w14:val="none"/>
        </w:rPr>
        <w:t>.</w:t>
      </w:r>
    </w:p>
    <w:p w14:paraId="0B206420" w14:textId="77777777" w:rsidR="005B5CF0" w:rsidRPr="005B5CF0" w:rsidRDefault="005B5CF0" w:rsidP="005B5CF0">
      <w:pPr>
        <w:numPr>
          <w:ilvl w:val="0"/>
          <w:numId w:val="1"/>
        </w:numPr>
        <w:bidi/>
        <w:spacing w:line="259" w:lineRule="auto"/>
        <w:rPr>
          <w:rFonts w:ascii="Calibri" w:eastAsia="Calibri" w:hAnsi="Calibri" w:cs="Arial"/>
          <w:kern w:val="0"/>
          <w:sz w:val="22"/>
          <w:szCs w:val="22"/>
          <w:lang w:val="en-US"/>
          <w14:ligatures w14:val="none"/>
        </w:rPr>
      </w:pPr>
      <w:r w:rsidRPr="005B5CF0">
        <w:rPr>
          <w:rFonts w:ascii="Calibri" w:eastAsia="Calibri" w:hAnsi="Calibri" w:cs="Arial"/>
          <w:kern w:val="0"/>
          <w:sz w:val="22"/>
          <w:szCs w:val="22"/>
          <w:rtl/>
          <w:lang w:val="en-US"/>
          <w14:ligatures w14:val="none"/>
        </w:rPr>
        <w:t xml:space="preserve">התמורות שהוצעו </w:t>
      </w:r>
      <w:proofErr w:type="spellStart"/>
      <w:r w:rsidRPr="005B5CF0">
        <w:rPr>
          <w:rFonts w:ascii="Calibri" w:eastAsia="Calibri" w:hAnsi="Calibri" w:cs="Arial"/>
          <w:kern w:val="0"/>
          <w:sz w:val="22"/>
          <w:szCs w:val="22"/>
          <w:rtl/>
          <w:lang w:val="en-US"/>
          <w14:ligatures w14:val="none"/>
        </w:rPr>
        <w:t>למרשתנו</w:t>
      </w:r>
      <w:proofErr w:type="spellEnd"/>
      <w:r w:rsidRPr="005B5CF0">
        <w:rPr>
          <w:rFonts w:ascii="Calibri" w:eastAsia="Calibri" w:hAnsi="Calibri" w:cs="Arial"/>
          <w:kern w:val="0"/>
          <w:sz w:val="22"/>
          <w:szCs w:val="22"/>
          <w:rtl/>
          <w:lang w:val="en-US"/>
          <w14:ligatures w14:val="none"/>
        </w:rPr>
        <w:t xml:space="preserve"> היו נחותות מהותית לעומת יתר בעלי הדירות, וכללו התעלמות מהבקשות הסבירות שהעלתה, כגון מיקום דירה חלופי ראוי ודמי שכירות מלאים לתקופת הבנייה</w:t>
      </w:r>
      <w:r w:rsidRPr="005B5CF0">
        <w:rPr>
          <w:rFonts w:ascii="Calibri" w:eastAsia="Calibri" w:hAnsi="Calibri" w:cs="Arial"/>
          <w:kern w:val="0"/>
          <w:sz w:val="22"/>
          <w:szCs w:val="22"/>
          <w:lang w:val="en-US"/>
          <w14:ligatures w14:val="none"/>
        </w:rPr>
        <w:t>.</w:t>
      </w:r>
    </w:p>
    <w:p w14:paraId="74ADD186" w14:textId="77777777" w:rsidR="005B5CF0" w:rsidRPr="005B5CF0" w:rsidRDefault="005B5CF0" w:rsidP="005B5CF0">
      <w:pPr>
        <w:numPr>
          <w:ilvl w:val="0"/>
          <w:numId w:val="1"/>
        </w:numPr>
        <w:bidi/>
        <w:spacing w:line="259" w:lineRule="auto"/>
        <w:rPr>
          <w:rFonts w:ascii="Calibri" w:eastAsia="Calibri" w:hAnsi="Calibri" w:cs="Arial"/>
          <w:kern w:val="0"/>
          <w:sz w:val="22"/>
          <w:szCs w:val="22"/>
          <w:lang w:val="en-US"/>
          <w14:ligatures w14:val="none"/>
        </w:rPr>
      </w:pPr>
      <w:r w:rsidRPr="005B5CF0">
        <w:rPr>
          <w:rFonts w:ascii="Calibri" w:eastAsia="Calibri" w:hAnsi="Calibri" w:cs="Arial"/>
          <w:kern w:val="0"/>
          <w:sz w:val="22"/>
          <w:szCs w:val="22"/>
          <w:rtl/>
          <w:lang w:val="en-US"/>
          <w14:ligatures w14:val="none"/>
        </w:rPr>
        <w:t>הוצג מצג כאילו מרשתנו "מעכבת את הפרויקט" מטעמים בלתי ענייניים, בעוד שבפועל היא ניסתה במשך זמן רב להגיע להסכמות, אך נתקלה בסירוב התובעים והיזם להידבר בתום לב</w:t>
      </w:r>
      <w:r w:rsidRPr="005B5CF0">
        <w:rPr>
          <w:rFonts w:ascii="Calibri" w:eastAsia="Calibri" w:hAnsi="Calibri" w:cs="Arial"/>
          <w:kern w:val="0"/>
          <w:sz w:val="22"/>
          <w:szCs w:val="22"/>
          <w:lang w:val="en-US"/>
          <w14:ligatures w14:val="none"/>
        </w:rPr>
        <w:t>.</w:t>
      </w:r>
    </w:p>
    <w:p w14:paraId="4B4C00D5" w14:textId="77777777" w:rsidR="005B5CF0" w:rsidRPr="005B5CF0" w:rsidRDefault="005B5CF0" w:rsidP="005B5CF0">
      <w:pPr>
        <w:numPr>
          <w:ilvl w:val="0"/>
          <w:numId w:val="1"/>
        </w:numPr>
        <w:bidi/>
        <w:spacing w:line="259" w:lineRule="auto"/>
        <w:rPr>
          <w:rFonts w:ascii="Calibri" w:eastAsia="Calibri" w:hAnsi="Calibri" w:cs="Arial"/>
          <w:kern w:val="0"/>
          <w:sz w:val="22"/>
          <w:szCs w:val="22"/>
          <w:lang w:val="en-US"/>
          <w14:ligatures w14:val="none"/>
        </w:rPr>
      </w:pPr>
      <w:r w:rsidRPr="005B5CF0">
        <w:rPr>
          <w:rFonts w:ascii="Calibri" w:eastAsia="Calibri" w:hAnsi="Calibri" w:cs="Arial"/>
          <w:kern w:val="0"/>
          <w:sz w:val="22"/>
          <w:szCs w:val="22"/>
          <w:rtl/>
          <w:lang w:val="en-US"/>
          <w14:ligatures w14:val="none"/>
        </w:rPr>
        <w:t>לתובעים אינטרס אישי נוסף, לרבות קשרי עבודה עם היזם, היוצרים חשש לניגוד עניינים ופוגעים בשקיפות התהליך</w:t>
      </w:r>
      <w:r w:rsidRPr="005B5CF0">
        <w:rPr>
          <w:rFonts w:ascii="Calibri" w:eastAsia="Calibri" w:hAnsi="Calibri" w:cs="Arial"/>
          <w:kern w:val="0"/>
          <w:sz w:val="22"/>
          <w:szCs w:val="22"/>
          <w:lang w:val="en-US"/>
          <w14:ligatures w14:val="none"/>
        </w:rPr>
        <w:t>.</w:t>
      </w:r>
    </w:p>
    <w:p w14:paraId="3DC8CEA9" w14:textId="77777777" w:rsidR="005B5CF0" w:rsidRPr="005B5CF0" w:rsidRDefault="005B5CF0" w:rsidP="005B5CF0">
      <w:pPr>
        <w:numPr>
          <w:ilvl w:val="0"/>
          <w:numId w:val="1"/>
        </w:numPr>
        <w:bidi/>
        <w:spacing w:line="259" w:lineRule="auto"/>
        <w:rPr>
          <w:rFonts w:ascii="Calibri" w:eastAsia="Calibri" w:hAnsi="Calibri" w:cs="Arial"/>
          <w:kern w:val="0"/>
          <w:sz w:val="22"/>
          <w:szCs w:val="22"/>
          <w:lang w:val="en-US"/>
          <w14:ligatures w14:val="none"/>
        </w:rPr>
      </w:pPr>
      <w:r w:rsidRPr="005B5CF0">
        <w:rPr>
          <w:rFonts w:ascii="Calibri" w:eastAsia="Calibri" w:hAnsi="Calibri" w:cs="Arial"/>
          <w:kern w:val="0"/>
          <w:sz w:val="22"/>
          <w:szCs w:val="22"/>
          <w:rtl/>
          <w:lang w:val="en-US"/>
          <w14:ligatures w14:val="none"/>
        </w:rPr>
        <w:t xml:space="preserve">לבניין יש מקלט גדול בשטח של כ־100 מ"ר, אשר שימש בפועל את כל הדיירים ומספק מענה בטיחותי, כך שלא התקיים הכרח </w:t>
      </w:r>
      <w:proofErr w:type="spellStart"/>
      <w:r w:rsidRPr="005B5CF0">
        <w:rPr>
          <w:rFonts w:ascii="Calibri" w:eastAsia="Calibri" w:hAnsi="Calibri" w:cs="Arial"/>
          <w:kern w:val="0"/>
          <w:sz w:val="22"/>
          <w:szCs w:val="22"/>
          <w:rtl/>
          <w:lang w:val="en-US"/>
          <w14:ligatures w14:val="none"/>
        </w:rPr>
        <w:t>מיידי</w:t>
      </w:r>
      <w:proofErr w:type="spellEnd"/>
      <w:r w:rsidRPr="005B5CF0">
        <w:rPr>
          <w:rFonts w:ascii="Calibri" w:eastAsia="Calibri" w:hAnsi="Calibri" w:cs="Arial"/>
          <w:kern w:val="0"/>
          <w:sz w:val="22"/>
          <w:szCs w:val="22"/>
          <w:rtl/>
          <w:lang w:val="en-US"/>
          <w14:ligatures w14:val="none"/>
        </w:rPr>
        <w:t xml:space="preserve"> בהוספת ממ"דים כפי שטענו התובעים</w:t>
      </w:r>
      <w:r w:rsidRPr="005B5CF0">
        <w:rPr>
          <w:rFonts w:ascii="Calibri" w:eastAsia="Calibri" w:hAnsi="Calibri" w:cs="Arial"/>
          <w:kern w:val="0"/>
          <w:sz w:val="22"/>
          <w:szCs w:val="22"/>
          <w:lang w:val="en-US"/>
          <w14:ligatures w14:val="none"/>
        </w:rPr>
        <w:t>.</w:t>
      </w:r>
    </w:p>
    <w:p w14:paraId="5BACF6B8" w14:textId="77777777" w:rsidR="005B5CF0" w:rsidRPr="005B5CF0" w:rsidRDefault="005B5CF0" w:rsidP="005B5CF0">
      <w:pPr>
        <w:numPr>
          <w:ilvl w:val="0"/>
          <w:numId w:val="1"/>
        </w:numPr>
        <w:bidi/>
        <w:spacing w:line="259" w:lineRule="auto"/>
        <w:rPr>
          <w:rFonts w:ascii="Calibri" w:eastAsia="Calibri" w:hAnsi="Calibri" w:cs="Arial"/>
          <w:kern w:val="0"/>
          <w:sz w:val="22"/>
          <w:szCs w:val="22"/>
          <w:lang w:val="en-US"/>
          <w14:ligatures w14:val="none"/>
        </w:rPr>
      </w:pPr>
      <w:r w:rsidRPr="005B5CF0">
        <w:rPr>
          <w:rFonts w:ascii="Calibri" w:eastAsia="Calibri" w:hAnsi="Calibri" w:cs="Arial"/>
          <w:kern w:val="0"/>
          <w:sz w:val="22"/>
          <w:szCs w:val="22"/>
          <w:rtl/>
          <w:lang w:val="en-US"/>
          <w14:ligatures w14:val="none"/>
        </w:rPr>
        <w:t>הוצגו מסמכים המאשרים כי פתיחת הגישה לגינה נעשתה כדין ובהיתר הוועדה המקומית, תוך שימוש משותף של הדיירים במשך עשרות שנים – בניגוד לטענות התובעים</w:t>
      </w:r>
      <w:r w:rsidRPr="005B5CF0">
        <w:rPr>
          <w:rFonts w:ascii="Calibri" w:eastAsia="Calibri" w:hAnsi="Calibri" w:cs="Arial"/>
          <w:kern w:val="0"/>
          <w:sz w:val="22"/>
          <w:szCs w:val="22"/>
          <w:lang w:val="en-US"/>
          <w14:ligatures w14:val="none"/>
        </w:rPr>
        <w:t>.</w:t>
      </w:r>
    </w:p>
    <w:p w14:paraId="1581DC12" w14:textId="77777777" w:rsidR="005B5CF0" w:rsidRPr="005B5CF0" w:rsidRDefault="005B5CF0" w:rsidP="005B5CF0">
      <w:pPr>
        <w:bidi/>
        <w:spacing w:line="259" w:lineRule="auto"/>
        <w:rPr>
          <w:rFonts w:ascii="Calibri" w:eastAsia="Calibri" w:hAnsi="Calibri" w:cs="Arial"/>
          <w:kern w:val="0"/>
          <w:sz w:val="22"/>
          <w:szCs w:val="22"/>
          <w:lang w:val="en-US"/>
          <w14:ligatures w14:val="none"/>
        </w:rPr>
      </w:pPr>
      <w:r w:rsidRPr="005B5CF0">
        <w:rPr>
          <w:rFonts w:ascii="Calibri" w:eastAsia="Calibri" w:hAnsi="Calibri" w:cs="Arial"/>
          <w:kern w:val="0"/>
          <w:sz w:val="22"/>
          <w:szCs w:val="22"/>
          <w:rtl/>
          <w:lang w:val="en-US"/>
          <w14:ligatures w14:val="none"/>
        </w:rPr>
        <w:t>במהלך ההליך הדגשנו את הוראות החוק המעניקות הגנה מיוחדת לבעלי דירות קשישים, ובפרט את החובה להציע להם מגורים חלופיים מותאמים לפני כפייה על השתתפות בפרויקט. חשפנו כי היזם כלל לא עמד בדרישות אלה, וכי ההתנהלות כלפי מרשתנו הייתה חד-צדדית ומפלה</w:t>
      </w:r>
      <w:r w:rsidRPr="005B5CF0">
        <w:rPr>
          <w:rFonts w:ascii="Calibri" w:eastAsia="Calibri" w:hAnsi="Calibri" w:cs="Arial"/>
          <w:kern w:val="0"/>
          <w:sz w:val="22"/>
          <w:szCs w:val="22"/>
          <w:lang w:val="en-US"/>
          <w14:ligatures w14:val="none"/>
        </w:rPr>
        <w:t>.</w:t>
      </w:r>
    </w:p>
    <w:p w14:paraId="31E44F3E" w14:textId="77777777" w:rsidR="005B5CF0" w:rsidRPr="005B5CF0" w:rsidRDefault="005B5CF0" w:rsidP="005B5CF0">
      <w:pPr>
        <w:bidi/>
        <w:spacing w:line="259" w:lineRule="auto"/>
        <w:rPr>
          <w:rFonts w:ascii="Calibri" w:eastAsia="Calibri" w:hAnsi="Calibri" w:cs="Arial"/>
          <w:kern w:val="0"/>
          <w:sz w:val="22"/>
          <w:szCs w:val="22"/>
          <w:lang w:val="en-US"/>
          <w14:ligatures w14:val="none"/>
        </w:rPr>
      </w:pPr>
      <w:r w:rsidRPr="005B5CF0">
        <w:rPr>
          <w:rFonts w:ascii="Calibri" w:eastAsia="Calibri" w:hAnsi="Calibri" w:cs="Arial"/>
          <w:kern w:val="0"/>
          <w:sz w:val="22"/>
          <w:szCs w:val="22"/>
          <w:rtl/>
          <w:lang w:val="en-US"/>
          <w14:ligatures w14:val="none"/>
        </w:rPr>
        <w:t>באמצעות ייצוג קפדני, מבוסס ראיות וניהול אסטרטגי של ההגנה, הצלחנו לשמר את זכויות מרשתנו, למנוע את כינוס ההסכמה לפרויקט בתנאים הפוגעניים שהוצעו, ולהציב רף גבוה יותר של שקיפות והגינות בכל הליך קידום פרויקט התחדשות עירונית בבניין</w:t>
      </w:r>
      <w:r w:rsidRPr="005B5CF0">
        <w:rPr>
          <w:rFonts w:ascii="Calibri" w:eastAsia="Calibri" w:hAnsi="Calibri" w:cs="Arial"/>
          <w:kern w:val="0"/>
          <w:sz w:val="22"/>
          <w:szCs w:val="22"/>
          <w:lang w:val="en-US"/>
          <w14:ligatures w14:val="none"/>
        </w:rPr>
        <w:t>.</w:t>
      </w:r>
    </w:p>
    <w:p w14:paraId="284F91A9" w14:textId="77777777" w:rsidR="005B5CF0" w:rsidRPr="005B5CF0" w:rsidRDefault="005B5CF0">
      <w:pPr>
        <w:rPr>
          <w:lang w:val="en-US"/>
        </w:rPr>
      </w:pPr>
    </w:p>
    <w:sectPr w:rsidR="005B5CF0" w:rsidRPr="005B5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03A16"/>
    <w:multiLevelType w:val="multilevel"/>
    <w:tmpl w:val="31E6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721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F0"/>
    <w:rsid w:val="005B5CF0"/>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490F2"/>
  <w15:chartTrackingRefBased/>
  <w15:docId w15:val="{5A81282B-E99D-4FFA-AB1C-CA265132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C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C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C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C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C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C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C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C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C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C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CF0"/>
    <w:rPr>
      <w:rFonts w:eastAsiaTheme="majorEastAsia" w:cstheme="majorBidi"/>
      <w:color w:val="272727" w:themeColor="text1" w:themeTint="D8"/>
    </w:rPr>
  </w:style>
  <w:style w:type="paragraph" w:styleId="Title">
    <w:name w:val="Title"/>
    <w:basedOn w:val="Normal"/>
    <w:next w:val="Normal"/>
    <w:link w:val="TitleChar"/>
    <w:uiPriority w:val="10"/>
    <w:qFormat/>
    <w:rsid w:val="005B5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CF0"/>
    <w:pPr>
      <w:spacing w:before="160"/>
      <w:jc w:val="center"/>
    </w:pPr>
    <w:rPr>
      <w:i/>
      <w:iCs/>
      <w:color w:val="404040" w:themeColor="text1" w:themeTint="BF"/>
    </w:rPr>
  </w:style>
  <w:style w:type="character" w:customStyle="1" w:styleId="QuoteChar">
    <w:name w:val="Quote Char"/>
    <w:basedOn w:val="DefaultParagraphFont"/>
    <w:link w:val="Quote"/>
    <w:uiPriority w:val="29"/>
    <w:rsid w:val="005B5CF0"/>
    <w:rPr>
      <w:i/>
      <w:iCs/>
      <w:color w:val="404040" w:themeColor="text1" w:themeTint="BF"/>
    </w:rPr>
  </w:style>
  <w:style w:type="paragraph" w:styleId="ListParagraph">
    <w:name w:val="List Paragraph"/>
    <w:basedOn w:val="Normal"/>
    <w:uiPriority w:val="34"/>
    <w:qFormat/>
    <w:rsid w:val="005B5CF0"/>
    <w:pPr>
      <w:ind w:left="720"/>
      <w:contextualSpacing/>
    </w:pPr>
  </w:style>
  <w:style w:type="character" w:styleId="IntenseEmphasis">
    <w:name w:val="Intense Emphasis"/>
    <w:basedOn w:val="DefaultParagraphFont"/>
    <w:uiPriority w:val="21"/>
    <w:qFormat/>
    <w:rsid w:val="005B5CF0"/>
    <w:rPr>
      <w:i/>
      <w:iCs/>
      <w:color w:val="0F4761" w:themeColor="accent1" w:themeShade="BF"/>
    </w:rPr>
  </w:style>
  <w:style w:type="paragraph" w:styleId="IntenseQuote">
    <w:name w:val="Intense Quote"/>
    <w:basedOn w:val="Normal"/>
    <w:next w:val="Normal"/>
    <w:link w:val="IntenseQuoteChar"/>
    <w:uiPriority w:val="30"/>
    <w:qFormat/>
    <w:rsid w:val="005B5C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CF0"/>
    <w:rPr>
      <w:i/>
      <w:iCs/>
      <w:color w:val="0F4761" w:themeColor="accent1" w:themeShade="BF"/>
    </w:rPr>
  </w:style>
  <w:style w:type="character" w:styleId="IntenseReference">
    <w:name w:val="Intense Reference"/>
    <w:basedOn w:val="DefaultParagraphFont"/>
    <w:uiPriority w:val="32"/>
    <w:qFormat/>
    <w:rsid w:val="005B5C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2025-09-03T08:20:00Z</dcterms:created>
  <dcterms:modified xsi:type="dcterms:W3CDTF">2025-09-03T08:20:00Z</dcterms:modified>
</cp:coreProperties>
</file>