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21D3" w14:textId="77777777" w:rsidR="00E62BF0" w:rsidRPr="00E62BF0" w:rsidRDefault="00E62BF0" w:rsidP="00E62BF0">
      <w:p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b/>
          <w:bCs/>
          <w:kern w:val="0"/>
          <w:sz w:val="22"/>
          <w:szCs w:val="22"/>
          <w:rtl/>
          <w:lang w:val="en-US"/>
          <w14:ligatures w14:val="none"/>
        </w:rPr>
        <w:t>סיפור הצלחה – משרדנו הבטיח קידום פרויקט פינוי-בינוי חרף התנגדות דיירים בודדים</w:t>
      </w:r>
      <w:r w:rsidRPr="00E62BF0">
        <w:rPr>
          <w:rFonts w:ascii="Calibri" w:eastAsia="Calibri" w:hAnsi="Calibri" w:cs="Arial"/>
          <w:kern w:val="0"/>
          <w:sz w:val="22"/>
          <w:szCs w:val="22"/>
          <w:lang w:val="en-US"/>
          <w14:ligatures w14:val="none"/>
        </w:rPr>
        <w:br/>
      </w:r>
      <w:r w:rsidRPr="00E62BF0">
        <w:rPr>
          <w:rFonts w:ascii="Calibri" w:eastAsia="Calibri" w:hAnsi="Calibri" w:cs="Arial"/>
          <w:b/>
          <w:bCs/>
          <w:kern w:val="0"/>
          <w:sz w:val="22"/>
          <w:szCs w:val="22"/>
          <w:rtl/>
          <w:lang w:val="en-US"/>
          <w14:ligatures w14:val="none"/>
        </w:rPr>
        <w:t>סוג תביעה</w:t>
      </w:r>
      <w:r w:rsidRPr="00E62BF0">
        <w:rPr>
          <w:rFonts w:ascii="Calibri" w:eastAsia="Calibri" w:hAnsi="Calibri" w:cs="Arial"/>
          <w:b/>
          <w:bCs/>
          <w:kern w:val="0"/>
          <w:sz w:val="22"/>
          <w:szCs w:val="22"/>
          <w:lang w:val="en-US"/>
          <w14:ligatures w14:val="none"/>
        </w:rPr>
        <w:t>:</w:t>
      </w:r>
      <w:r w:rsidRPr="00E62BF0">
        <w:rPr>
          <w:rFonts w:ascii="Calibri" w:eastAsia="Calibri" w:hAnsi="Calibri" w:cs="Arial"/>
          <w:kern w:val="0"/>
          <w:sz w:val="22"/>
          <w:szCs w:val="22"/>
          <w:lang w:val="en-US"/>
          <w14:ligatures w14:val="none"/>
        </w:rPr>
        <w:t xml:space="preserve"> </w:t>
      </w:r>
      <w:r w:rsidRPr="00E62BF0">
        <w:rPr>
          <w:rFonts w:ascii="Calibri" w:eastAsia="Calibri" w:hAnsi="Calibri" w:cs="Arial"/>
          <w:kern w:val="0"/>
          <w:sz w:val="22"/>
          <w:szCs w:val="22"/>
          <w:rtl/>
          <w:lang w:val="en-US"/>
          <w14:ligatures w14:val="none"/>
        </w:rPr>
        <w:t>הצהרתית בעניין התחדשות עירונית (תמ"א 38)</w:t>
      </w:r>
      <w:r w:rsidRPr="00E62BF0">
        <w:rPr>
          <w:rFonts w:ascii="Calibri" w:eastAsia="Calibri" w:hAnsi="Calibri" w:cs="Arial"/>
          <w:kern w:val="0"/>
          <w:sz w:val="22"/>
          <w:szCs w:val="22"/>
          <w:lang w:val="en-US"/>
          <w14:ligatures w14:val="none"/>
        </w:rPr>
        <w:br/>
      </w:r>
      <w:r w:rsidRPr="00E62BF0">
        <w:rPr>
          <w:rFonts w:ascii="Calibri" w:eastAsia="Calibri" w:hAnsi="Calibri" w:cs="Arial"/>
          <w:b/>
          <w:bCs/>
          <w:kern w:val="0"/>
          <w:sz w:val="22"/>
          <w:szCs w:val="22"/>
          <w:rtl/>
          <w:lang w:val="en-US"/>
          <w14:ligatures w14:val="none"/>
        </w:rPr>
        <w:t>עו"ד מטפל</w:t>
      </w:r>
      <w:r w:rsidRPr="00E62BF0">
        <w:rPr>
          <w:rFonts w:ascii="Calibri" w:eastAsia="Calibri" w:hAnsi="Calibri" w:cs="Arial"/>
          <w:b/>
          <w:bCs/>
          <w:kern w:val="0"/>
          <w:sz w:val="22"/>
          <w:szCs w:val="22"/>
          <w:lang w:val="en-US"/>
          <w14:ligatures w14:val="none"/>
        </w:rPr>
        <w:t>:</w:t>
      </w:r>
      <w:r w:rsidRPr="00E62BF0">
        <w:rPr>
          <w:rFonts w:ascii="Calibri" w:eastAsia="Calibri" w:hAnsi="Calibri" w:cs="Arial"/>
          <w:kern w:val="0"/>
          <w:sz w:val="22"/>
          <w:szCs w:val="22"/>
          <w:lang w:val="en-US"/>
          <w14:ligatures w14:val="none"/>
        </w:rPr>
        <w:t xml:space="preserve"> </w:t>
      </w:r>
      <w:r w:rsidRPr="00E62BF0">
        <w:rPr>
          <w:rFonts w:ascii="Calibri" w:eastAsia="Calibri" w:hAnsi="Calibri" w:cs="Arial"/>
          <w:kern w:val="0"/>
          <w:sz w:val="22"/>
          <w:szCs w:val="22"/>
          <w:rtl/>
          <w:lang w:val="en-US"/>
          <w14:ligatures w14:val="none"/>
        </w:rPr>
        <w:t>צבי אשכנזי</w:t>
      </w:r>
    </w:p>
    <w:p w14:paraId="6A1F70B2" w14:textId="77777777" w:rsidR="00E62BF0" w:rsidRPr="00E62BF0" w:rsidRDefault="00E62BF0" w:rsidP="00E62BF0">
      <w:p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b/>
          <w:bCs/>
          <w:kern w:val="0"/>
          <w:sz w:val="22"/>
          <w:szCs w:val="22"/>
          <w:rtl/>
          <w:lang w:val="en-US"/>
          <w14:ligatures w14:val="none"/>
        </w:rPr>
        <w:t>רקע</w:t>
      </w:r>
      <w:r w:rsidRPr="00E62BF0">
        <w:rPr>
          <w:rFonts w:ascii="Calibri" w:eastAsia="Calibri" w:hAnsi="Calibri" w:cs="Arial"/>
          <w:b/>
          <w:bCs/>
          <w:kern w:val="0"/>
          <w:sz w:val="22"/>
          <w:szCs w:val="22"/>
          <w:lang w:val="en-US"/>
          <w14:ligatures w14:val="none"/>
        </w:rPr>
        <w:t>:</w:t>
      </w:r>
      <w:r w:rsidRPr="00E62BF0">
        <w:rPr>
          <w:rFonts w:ascii="Calibri" w:eastAsia="Calibri" w:hAnsi="Calibri" w:cs="Arial"/>
          <w:kern w:val="0"/>
          <w:sz w:val="22"/>
          <w:szCs w:val="22"/>
          <w:lang w:val="en-US"/>
          <w14:ligatures w14:val="none"/>
        </w:rPr>
        <w:br/>
      </w:r>
      <w:r w:rsidRPr="00E62BF0">
        <w:rPr>
          <w:rFonts w:ascii="Calibri" w:eastAsia="Calibri" w:hAnsi="Calibri" w:cs="Arial"/>
          <w:kern w:val="0"/>
          <w:sz w:val="22"/>
          <w:szCs w:val="22"/>
          <w:rtl/>
          <w:lang w:val="en-US"/>
          <w14:ligatures w14:val="none"/>
        </w:rPr>
        <w:t>משרדנו ייצג קבוצת בעלי דירות בבניין ישן ברחוב האורן 12 ברמת גן. כל בעלי הדירות, למעט שתי בעלות דירה אחת, חתמו על הסכם להריסת הבניין ובנייתו מחדש במסגרת תמ"א 38/2, בפרויקט שזכה כבר בהיתר בנייה</w:t>
      </w:r>
      <w:r w:rsidRPr="00E62BF0">
        <w:rPr>
          <w:rFonts w:ascii="Calibri" w:eastAsia="Calibri" w:hAnsi="Calibri" w:cs="Arial"/>
          <w:kern w:val="0"/>
          <w:sz w:val="22"/>
          <w:szCs w:val="22"/>
          <w:lang w:val="en-US"/>
          <w14:ligatures w14:val="none"/>
        </w:rPr>
        <w:t>.</w:t>
      </w:r>
      <w:r w:rsidRPr="00E62BF0">
        <w:rPr>
          <w:rFonts w:ascii="Calibri" w:eastAsia="Calibri" w:hAnsi="Calibri" w:cs="Arial"/>
          <w:kern w:val="0"/>
          <w:sz w:val="22"/>
          <w:szCs w:val="22"/>
          <w:lang w:val="en-US"/>
          <w14:ligatures w14:val="none"/>
        </w:rPr>
        <w:br/>
      </w:r>
      <w:r w:rsidRPr="00E62BF0">
        <w:rPr>
          <w:rFonts w:ascii="Calibri" w:eastAsia="Calibri" w:hAnsi="Calibri" w:cs="Arial"/>
          <w:kern w:val="0"/>
          <w:sz w:val="22"/>
          <w:szCs w:val="22"/>
          <w:rtl/>
          <w:lang w:val="en-US"/>
          <w14:ligatures w14:val="none"/>
        </w:rPr>
        <w:t>הנתבעות סירבו לחתום על מסמכי הליווי הפיננסי הנדרשים לפרויקט, ובכך עצרו את התקדמותו חודשים ארוכים, למרות שההסכם עם היזם כבר נחתם על ידי יתר הדיירים</w:t>
      </w:r>
      <w:r w:rsidRPr="00E62BF0">
        <w:rPr>
          <w:rFonts w:ascii="Calibri" w:eastAsia="Calibri" w:hAnsi="Calibri" w:cs="Arial"/>
          <w:kern w:val="0"/>
          <w:sz w:val="22"/>
          <w:szCs w:val="22"/>
          <w:lang w:val="en-US"/>
          <w14:ligatures w14:val="none"/>
        </w:rPr>
        <w:t>.</w:t>
      </w:r>
    </w:p>
    <w:p w14:paraId="53333CB9" w14:textId="77777777" w:rsidR="00E62BF0" w:rsidRPr="00E62BF0" w:rsidRDefault="00E62BF0" w:rsidP="00E62BF0">
      <w:p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b/>
          <w:bCs/>
          <w:kern w:val="0"/>
          <w:sz w:val="22"/>
          <w:szCs w:val="22"/>
          <w:rtl/>
          <w:lang w:val="en-US"/>
          <w14:ligatures w14:val="none"/>
        </w:rPr>
        <w:t>האתגר המשפטי</w:t>
      </w:r>
      <w:r w:rsidRPr="00E62BF0">
        <w:rPr>
          <w:rFonts w:ascii="Calibri" w:eastAsia="Calibri" w:hAnsi="Calibri" w:cs="Arial"/>
          <w:b/>
          <w:bCs/>
          <w:kern w:val="0"/>
          <w:sz w:val="22"/>
          <w:szCs w:val="22"/>
          <w:lang w:val="en-US"/>
          <w14:ligatures w14:val="none"/>
        </w:rPr>
        <w:t>:</w:t>
      </w:r>
      <w:r w:rsidRPr="00E62BF0">
        <w:rPr>
          <w:rFonts w:ascii="Calibri" w:eastAsia="Calibri" w:hAnsi="Calibri" w:cs="Arial"/>
          <w:kern w:val="0"/>
          <w:sz w:val="22"/>
          <w:szCs w:val="22"/>
          <w:lang w:val="en-US"/>
          <w14:ligatures w14:val="none"/>
        </w:rPr>
        <w:br/>
      </w:r>
      <w:r w:rsidRPr="00E62BF0">
        <w:rPr>
          <w:rFonts w:ascii="Calibri" w:eastAsia="Calibri" w:hAnsi="Calibri" w:cs="Arial"/>
          <w:kern w:val="0"/>
          <w:sz w:val="22"/>
          <w:szCs w:val="22"/>
          <w:rtl/>
          <w:lang w:val="en-US"/>
          <w14:ligatures w14:val="none"/>
        </w:rPr>
        <w:t>הנתבעות טענו שההסכם עם היזם מפלה אותן לרעה, במיוחד בנוגע לשימוש עתידי בגג, ולפיכך הן דרשו הטבות נוספות כתנאי לחתימתן. הן אף העלו טענות לגבי גודל מחסנים וחניות, וטענו כי היזם הנוכחי "ירש" את ההסכם מיזם קודם שהפר התחייבויות, ולכן עליו לתקן את כל הליקויים מהעבר בטרם יתקדם</w:t>
      </w:r>
      <w:r w:rsidRPr="00E62BF0">
        <w:rPr>
          <w:rFonts w:ascii="Calibri" w:eastAsia="Calibri" w:hAnsi="Calibri" w:cs="Arial"/>
          <w:kern w:val="0"/>
          <w:sz w:val="22"/>
          <w:szCs w:val="22"/>
          <w:lang w:val="en-US"/>
          <w14:ligatures w14:val="none"/>
        </w:rPr>
        <w:t>.</w:t>
      </w:r>
    </w:p>
    <w:p w14:paraId="6FAD59CC" w14:textId="77777777" w:rsidR="00E62BF0" w:rsidRPr="00E62BF0" w:rsidRDefault="00E62BF0" w:rsidP="00E62BF0">
      <w:p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b/>
          <w:bCs/>
          <w:kern w:val="0"/>
          <w:sz w:val="22"/>
          <w:szCs w:val="22"/>
          <w:rtl/>
          <w:lang w:val="en-US"/>
          <w14:ligatures w14:val="none"/>
        </w:rPr>
        <w:t>הפעולות שביצענו</w:t>
      </w:r>
      <w:r w:rsidRPr="00E62BF0">
        <w:rPr>
          <w:rFonts w:ascii="Calibri" w:eastAsia="Calibri" w:hAnsi="Calibri" w:cs="Arial"/>
          <w:b/>
          <w:bCs/>
          <w:kern w:val="0"/>
          <w:sz w:val="22"/>
          <w:szCs w:val="22"/>
          <w:lang w:val="en-US"/>
          <w14:ligatures w14:val="none"/>
        </w:rPr>
        <w:t>:</w:t>
      </w:r>
    </w:p>
    <w:p w14:paraId="685AEA15" w14:textId="77777777" w:rsidR="00E62BF0" w:rsidRPr="00E62BF0" w:rsidRDefault="00E62BF0" w:rsidP="00E62BF0">
      <w:pPr>
        <w:numPr>
          <w:ilvl w:val="0"/>
          <w:numId w:val="1"/>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ניתחנו את ההסכם המקורי ואת נספחיו, והצגנו לבית המשפט כי כל בעלי הדירות, לרבות הנתבעות, קיבלו תמורות זהות ושוות ערך</w:t>
      </w:r>
      <w:r w:rsidRPr="00E62BF0">
        <w:rPr>
          <w:rFonts w:ascii="Calibri" w:eastAsia="Calibri" w:hAnsi="Calibri" w:cs="Arial"/>
          <w:kern w:val="0"/>
          <w:sz w:val="22"/>
          <w:szCs w:val="22"/>
          <w:lang w:val="en-US"/>
          <w14:ligatures w14:val="none"/>
        </w:rPr>
        <w:t>.</w:t>
      </w:r>
    </w:p>
    <w:p w14:paraId="02D314F4" w14:textId="77777777" w:rsidR="00E62BF0" w:rsidRPr="00E62BF0" w:rsidRDefault="00E62BF0" w:rsidP="00E62BF0">
      <w:pPr>
        <w:numPr>
          <w:ilvl w:val="0"/>
          <w:numId w:val="1"/>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הוכחנו כי סוגיית הגג מוסדרת במפורש כרכוש משותף, בהתאם לחוק המקרקעין ולהסכמות הכתובות</w:t>
      </w:r>
      <w:r w:rsidRPr="00E62BF0">
        <w:rPr>
          <w:rFonts w:ascii="Calibri" w:eastAsia="Calibri" w:hAnsi="Calibri" w:cs="Arial"/>
          <w:kern w:val="0"/>
          <w:sz w:val="22"/>
          <w:szCs w:val="22"/>
          <w:lang w:val="en-US"/>
          <w14:ligatures w14:val="none"/>
        </w:rPr>
        <w:t>.</w:t>
      </w:r>
    </w:p>
    <w:p w14:paraId="76D788A3" w14:textId="77777777" w:rsidR="00E62BF0" w:rsidRPr="00E62BF0" w:rsidRDefault="00E62BF0" w:rsidP="00E62BF0">
      <w:pPr>
        <w:numPr>
          <w:ilvl w:val="0"/>
          <w:numId w:val="1"/>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הצגנו תיעוד מקיף של ניסיונות היזם והדיירים להגיע להסכמות עם הנתבעות, כולל הצעות פשרה נדיבות שנדחו על ידן</w:t>
      </w:r>
      <w:r w:rsidRPr="00E62BF0">
        <w:rPr>
          <w:rFonts w:ascii="Calibri" w:eastAsia="Calibri" w:hAnsi="Calibri" w:cs="Arial"/>
          <w:kern w:val="0"/>
          <w:sz w:val="22"/>
          <w:szCs w:val="22"/>
          <w:lang w:val="en-US"/>
          <w14:ligatures w14:val="none"/>
        </w:rPr>
        <w:t>.</w:t>
      </w:r>
    </w:p>
    <w:p w14:paraId="45A1D7AB" w14:textId="77777777" w:rsidR="00E62BF0" w:rsidRPr="00E62BF0" w:rsidRDefault="00E62BF0" w:rsidP="00E62BF0">
      <w:pPr>
        <w:numPr>
          <w:ilvl w:val="0"/>
          <w:numId w:val="1"/>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הדגשנו את הנזק המצטבר לכלל הדיירים ולעיר כולה מעיכוב הפרויקט, במיוחד לאור העובדה שמדובר בבניין ישן שאינו עומד בתקני בטיחות</w:t>
      </w:r>
      <w:r w:rsidRPr="00E62BF0">
        <w:rPr>
          <w:rFonts w:ascii="Calibri" w:eastAsia="Calibri" w:hAnsi="Calibri" w:cs="Arial"/>
          <w:kern w:val="0"/>
          <w:sz w:val="22"/>
          <w:szCs w:val="22"/>
          <w:lang w:val="en-US"/>
          <w14:ligatures w14:val="none"/>
        </w:rPr>
        <w:t>.</w:t>
      </w:r>
    </w:p>
    <w:p w14:paraId="6CDB8EAA" w14:textId="77777777" w:rsidR="00E62BF0" w:rsidRPr="00E62BF0" w:rsidRDefault="00E62BF0" w:rsidP="00E62BF0">
      <w:p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b/>
          <w:bCs/>
          <w:kern w:val="0"/>
          <w:sz w:val="22"/>
          <w:szCs w:val="22"/>
          <w:rtl/>
          <w:lang w:val="en-US"/>
          <w14:ligatures w14:val="none"/>
        </w:rPr>
        <w:t>פסק הדין</w:t>
      </w:r>
      <w:r w:rsidRPr="00E62BF0">
        <w:rPr>
          <w:rFonts w:ascii="Calibri" w:eastAsia="Calibri" w:hAnsi="Calibri" w:cs="Arial"/>
          <w:b/>
          <w:bCs/>
          <w:kern w:val="0"/>
          <w:sz w:val="22"/>
          <w:szCs w:val="22"/>
          <w:lang w:val="en-US"/>
          <w14:ligatures w14:val="none"/>
        </w:rPr>
        <w:t>:</w:t>
      </w:r>
      <w:r w:rsidRPr="00E62BF0">
        <w:rPr>
          <w:rFonts w:ascii="Calibri" w:eastAsia="Calibri" w:hAnsi="Calibri" w:cs="Arial"/>
          <w:kern w:val="0"/>
          <w:sz w:val="22"/>
          <w:szCs w:val="22"/>
          <w:lang w:val="en-US"/>
          <w14:ligatures w14:val="none"/>
        </w:rPr>
        <w:br/>
      </w:r>
      <w:r w:rsidRPr="00E62BF0">
        <w:rPr>
          <w:rFonts w:ascii="Calibri" w:eastAsia="Calibri" w:hAnsi="Calibri" w:cs="Arial"/>
          <w:kern w:val="0"/>
          <w:sz w:val="22"/>
          <w:szCs w:val="22"/>
          <w:rtl/>
          <w:lang w:val="en-US"/>
          <w14:ligatures w14:val="none"/>
        </w:rPr>
        <w:t>בית המשפט קיבל את עמדת משרדנו במלואה</w:t>
      </w:r>
      <w:r w:rsidRPr="00E62BF0">
        <w:rPr>
          <w:rFonts w:ascii="Calibri" w:eastAsia="Calibri" w:hAnsi="Calibri" w:cs="Arial"/>
          <w:kern w:val="0"/>
          <w:sz w:val="22"/>
          <w:szCs w:val="22"/>
          <w:lang w:val="en-US"/>
          <w14:ligatures w14:val="none"/>
        </w:rPr>
        <w:t>:</w:t>
      </w:r>
    </w:p>
    <w:p w14:paraId="3DFCFDE7" w14:textId="77777777" w:rsidR="00E62BF0" w:rsidRPr="00E62BF0" w:rsidRDefault="00E62BF0" w:rsidP="00E62BF0">
      <w:pPr>
        <w:numPr>
          <w:ilvl w:val="0"/>
          <w:numId w:val="2"/>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הוצהר כי ליזם יש זכות לבצע את הפרויקט בהתאם להיתר הבנייה</w:t>
      </w:r>
      <w:r w:rsidRPr="00E62BF0">
        <w:rPr>
          <w:rFonts w:ascii="Calibri" w:eastAsia="Calibri" w:hAnsi="Calibri" w:cs="Arial"/>
          <w:kern w:val="0"/>
          <w:sz w:val="22"/>
          <w:szCs w:val="22"/>
          <w:lang w:val="en-US"/>
          <w14:ligatures w14:val="none"/>
        </w:rPr>
        <w:t>.</w:t>
      </w:r>
    </w:p>
    <w:p w14:paraId="2DA5615C" w14:textId="77777777" w:rsidR="00E62BF0" w:rsidRPr="00E62BF0" w:rsidRDefault="00E62BF0" w:rsidP="00E62BF0">
      <w:pPr>
        <w:numPr>
          <w:ilvl w:val="0"/>
          <w:numId w:val="2"/>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ניתן צו עשה המאפשר ליזם לחתום על מסמכי הליווי בשם הנתבעות, באמצעות ייפוי כוח מטעם בית המשפט</w:t>
      </w:r>
      <w:r w:rsidRPr="00E62BF0">
        <w:rPr>
          <w:rFonts w:ascii="Calibri" w:eastAsia="Calibri" w:hAnsi="Calibri" w:cs="Arial"/>
          <w:kern w:val="0"/>
          <w:sz w:val="22"/>
          <w:szCs w:val="22"/>
          <w:lang w:val="en-US"/>
          <w14:ligatures w14:val="none"/>
        </w:rPr>
        <w:t>.</w:t>
      </w:r>
    </w:p>
    <w:p w14:paraId="3C94C31D" w14:textId="77777777" w:rsidR="00E62BF0" w:rsidRPr="00E62BF0" w:rsidRDefault="00E62BF0" w:rsidP="00E62BF0">
      <w:pPr>
        <w:numPr>
          <w:ilvl w:val="0"/>
          <w:numId w:val="2"/>
        </w:num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kern w:val="0"/>
          <w:sz w:val="22"/>
          <w:szCs w:val="22"/>
          <w:rtl/>
          <w:lang w:val="en-US"/>
          <w14:ligatures w14:val="none"/>
        </w:rPr>
        <w:t>נפסקו הוצאות משפט משמעותיות לטובת לקוחותינו</w:t>
      </w:r>
      <w:r w:rsidRPr="00E62BF0">
        <w:rPr>
          <w:rFonts w:ascii="Calibri" w:eastAsia="Calibri" w:hAnsi="Calibri" w:cs="Arial"/>
          <w:kern w:val="0"/>
          <w:sz w:val="22"/>
          <w:szCs w:val="22"/>
          <w:lang w:val="en-US"/>
          <w14:ligatures w14:val="none"/>
        </w:rPr>
        <w:t>.</w:t>
      </w:r>
    </w:p>
    <w:p w14:paraId="320E0E52" w14:textId="77777777" w:rsidR="00E62BF0" w:rsidRPr="00E62BF0" w:rsidRDefault="00E62BF0" w:rsidP="00E62BF0">
      <w:pPr>
        <w:bidi/>
        <w:spacing w:line="259" w:lineRule="auto"/>
        <w:rPr>
          <w:rFonts w:ascii="Calibri" w:eastAsia="Calibri" w:hAnsi="Calibri" w:cs="Arial"/>
          <w:kern w:val="0"/>
          <w:sz w:val="22"/>
          <w:szCs w:val="22"/>
          <w:lang w:val="en-US"/>
          <w14:ligatures w14:val="none"/>
        </w:rPr>
      </w:pPr>
      <w:r w:rsidRPr="00E62BF0">
        <w:rPr>
          <w:rFonts w:ascii="Calibri" w:eastAsia="Calibri" w:hAnsi="Calibri" w:cs="Arial"/>
          <w:b/>
          <w:bCs/>
          <w:kern w:val="0"/>
          <w:sz w:val="22"/>
          <w:szCs w:val="22"/>
          <w:rtl/>
          <w:lang w:val="en-US"/>
          <w14:ligatures w14:val="none"/>
        </w:rPr>
        <w:t>התוצאה</w:t>
      </w:r>
      <w:r w:rsidRPr="00E62BF0">
        <w:rPr>
          <w:rFonts w:ascii="Calibri" w:eastAsia="Calibri" w:hAnsi="Calibri" w:cs="Arial"/>
          <w:b/>
          <w:bCs/>
          <w:kern w:val="0"/>
          <w:sz w:val="22"/>
          <w:szCs w:val="22"/>
          <w:lang w:val="en-US"/>
          <w14:ligatures w14:val="none"/>
        </w:rPr>
        <w:t>:</w:t>
      </w:r>
      <w:r w:rsidRPr="00E62BF0">
        <w:rPr>
          <w:rFonts w:ascii="Calibri" w:eastAsia="Calibri" w:hAnsi="Calibri" w:cs="Arial"/>
          <w:kern w:val="0"/>
          <w:sz w:val="22"/>
          <w:szCs w:val="22"/>
          <w:lang w:val="en-US"/>
          <w14:ligatures w14:val="none"/>
        </w:rPr>
        <w:br/>
      </w:r>
      <w:r w:rsidRPr="00E62BF0">
        <w:rPr>
          <w:rFonts w:ascii="Calibri" w:eastAsia="Calibri" w:hAnsi="Calibri" w:cs="Arial"/>
          <w:kern w:val="0"/>
          <w:sz w:val="22"/>
          <w:szCs w:val="22"/>
          <w:rtl/>
          <w:lang w:val="en-US"/>
          <w14:ligatures w14:val="none"/>
        </w:rPr>
        <w:t>הפרויקט, שעמד על סף ביטול, חזר למסלולו וצפוי לצאת לדרך תוך חודשים ספורים</w:t>
      </w:r>
      <w:r w:rsidRPr="00E62BF0">
        <w:rPr>
          <w:rFonts w:ascii="Calibri" w:eastAsia="Calibri" w:hAnsi="Calibri" w:cs="Arial"/>
          <w:kern w:val="0"/>
          <w:sz w:val="22"/>
          <w:szCs w:val="22"/>
          <w:lang w:val="en-US"/>
          <w14:ligatures w14:val="none"/>
        </w:rPr>
        <w:t>.</w:t>
      </w:r>
      <w:r w:rsidRPr="00E62BF0">
        <w:rPr>
          <w:rFonts w:ascii="Calibri" w:eastAsia="Calibri" w:hAnsi="Calibri" w:cs="Arial"/>
          <w:kern w:val="0"/>
          <w:sz w:val="22"/>
          <w:szCs w:val="22"/>
          <w:lang w:val="en-US"/>
          <w14:ligatures w14:val="none"/>
        </w:rPr>
        <w:br/>
      </w:r>
      <w:r w:rsidRPr="00E62BF0">
        <w:rPr>
          <w:rFonts w:ascii="Calibri" w:eastAsia="Calibri" w:hAnsi="Calibri" w:cs="Arial"/>
          <w:kern w:val="0"/>
          <w:sz w:val="22"/>
          <w:szCs w:val="22"/>
          <w:rtl/>
          <w:lang w:val="en-US"/>
          <w14:ligatures w14:val="none"/>
        </w:rPr>
        <w:t>לקוחותינו שמרו על הזכויות המלאות שלהם, קיבלו ודאות משפטית, והבטיחו את קידום ההתחדשות העירונית בבניינם — וכל זאת ללא כניעה ללחצים פסולים של מתנגדים בודדים</w:t>
      </w:r>
      <w:r w:rsidRPr="00E62BF0">
        <w:rPr>
          <w:rFonts w:ascii="Calibri" w:eastAsia="Calibri" w:hAnsi="Calibri" w:cs="Arial"/>
          <w:kern w:val="0"/>
          <w:sz w:val="22"/>
          <w:szCs w:val="22"/>
          <w:lang w:val="en-US"/>
          <w14:ligatures w14:val="none"/>
        </w:rPr>
        <w:t>.</w:t>
      </w:r>
    </w:p>
    <w:p w14:paraId="5E57BAE1" w14:textId="77777777" w:rsidR="00E62BF0" w:rsidRPr="00E62BF0" w:rsidRDefault="00E62BF0">
      <w:pPr>
        <w:rPr>
          <w:lang w:val="en-US"/>
        </w:rPr>
      </w:pPr>
    </w:p>
    <w:sectPr w:rsidR="00E62BF0" w:rsidRPr="00E62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926A8"/>
    <w:multiLevelType w:val="multilevel"/>
    <w:tmpl w:val="628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A1CD0"/>
    <w:multiLevelType w:val="multilevel"/>
    <w:tmpl w:val="F9C6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372026">
    <w:abstractNumId w:val="0"/>
  </w:num>
  <w:num w:numId="2" w16cid:durableId="2072654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F0"/>
    <w:rsid w:val="00E24646"/>
    <w:rsid w:val="00E62B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6B77"/>
  <w15:chartTrackingRefBased/>
  <w15:docId w15:val="{01BF1405-210D-4A8F-89FB-042C76EC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BF0"/>
    <w:rPr>
      <w:rFonts w:eastAsiaTheme="majorEastAsia" w:cstheme="majorBidi"/>
      <w:color w:val="272727" w:themeColor="text1" w:themeTint="D8"/>
    </w:rPr>
  </w:style>
  <w:style w:type="paragraph" w:styleId="Title">
    <w:name w:val="Title"/>
    <w:basedOn w:val="Normal"/>
    <w:next w:val="Normal"/>
    <w:link w:val="TitleChar"/>
    <w:uiPriority w:val="10"/>
    <w:qFormat/>
    <w:rsid w:val="00E6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BF0"/>
    <w:pPr>
      <w:spacing w:before="160"/>
      <w:jc w:val="center"/>
    </w:pPr>
    <w:rPr>
      <w:i/>
      <w:iCs/>
      <w:color w:val="404040" w:themeColor="text1" w:themeTint="BF"/>
    </w:rPr>
  </w:style>
  <w:style w:type="character" w:customStyle="1" w:styleId="QuoteChar">
    <w:name w:val="Quote Char"/>
    <w:basedOn w:val="DefaultParagraphFont"/>
    <w:link w:val="Quote"/>
    <w:uiPriority w:val="29"/>
    <w:rsid w:val="00E62BF0"/>
    <w:rPr>
      <w:i/>
      <w:iCs/>
      <w:color w:val="404040" w:themeColor="text1" w:themeTint="BF"/>
    </w:rPr>
  </w:style>
  <w:style w:type="paragraph" w:styleId="ListParagraph">
    <w:name w:val="List Paragraph"/>
    <w:basedOn w:val="Normal"/>
    <w:uiPriority w:val="34"/>
    <w:qFormat/>
    <w:rsid w:val="00E62BF0"/>
    <w:pPr>
      <w:ind w:left="720"/>
      <w:contextualSpacing/>
    </w:pPr>
  </w:style>
  <w:style w:type="character" w:styleId="IntenseEmphasis">
    <w:name w:val="Intense Emphasis"/>
    <w:basedOn w:val="DefaultParagraphFont"/>
    <w:uiPriority w:val="21"/>
    <w:qFormat/>
    <w:rsid w:val="00E62BF0"/>
    <w:rPr>
      <w:i/>
      <w:iCs/>
      <w:color w:val="0F4761" w:themeColor="accent1" w:themeShade="BF"/>
    </w:rPr>
  </w:style>
  <w:style w:type="paragraph" w:styleId="IntenseQuote">
    <w:name w:val="Intense Quote"/>
    <w:basedOn w:val="Normal"/>
    <w:next w:val="Normal"/>
    <w:link w:val="IntenseQuoteChar"/>
    <w:uiPriority w:val="30"/>
    <w:qFormat/>
    <w:rsid w:val="00E6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BF0"/>
    <w:rPr>
      <w:i/>
      <w:iCs/>
      <w:color w:val="0F4761" w:themeColor="accent1" w:themeShade="BF"/>
    </w:rPr>
  </w:style>
  <w:style w:type="character" w:styleId="IntenseReference">
    <w:name w:val="Intense Reference"/>
    <w:basedOn w:val="DefaultParagraphFont"/>
    <w:uiPriority w:val="32"/>
    <w:qFormat/>
    <w:rsid w:val="00E62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2025-09-03T07:59:00Z</dcterms:created>
  <dcterms:modified xsi:type="dcterms:W3CDTF">2025-09-03T08:00:00Z</dcterms:modified>
</cp:coreProperties>
</file>