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7CF57" w14:textId="77777777" w:rsidR="00AE495B" w:rsidRPr="00AE495B" w:rsidRDefault="00AE495B" w:rsidP="00AE495B">
      <w:pPr>
        <w:bidi/>
        <w:spacing w:line="259" w:lineRule="auto"/>
        <w:rPr>
          <w:rFonts w:ascii="Calibri" w:eastAsia="Calibri" w:hAnsi="Calibri" w:cs="Arial"/>
          <w:kern w:val="0"/>
          <w:sz w:val="22"/>
          <w:szCs w:val="22"/>
          <w:lang w:val="en-US"/>
          <w14:ligatures w14:val="none"/>
        </w:rPr>
      </w:pPr>
      <w:r w:rsidRPr="00AE495B">
        <w:rPr>
          <w:rFonts w:ascii="Calibri" w:eastAsia="Calibri" w:hAnsi="Calibri" w:cs="Arial"/>
          <w:b/>
          <w:bCs/>
          <w:kern w:val="0"/>
          <w:sz w:val="22"/>
          <w:szCs w:val="22"/>
          <w:rtl/>
          <w:lang w:val="en-US"/>
          <w14:ligatures w14:val="none"/>
        </w:rPr>
        <w:t>סיפור הצלחה – משרדנו השיג צו לסילוק יד והשבת מצב לקדמותו ברכוש משותף</w:t>
      </w:r>
      <w:r w:rsidRPr="00AE495B">
        <w:rPr>
          <w:rFonts w:ascii="Calibri" w:eastAsia="Calibri" w:hAnsi="Calibri" w:cs="Arial"/>
          <w:kern w:val="0"/>
          <w:sz w:val="22"/>
          <w:szCs w:val="22"/>
          <w:lang w:val="en-US"/>
          <w14:ligatures w14:val="none"/>
        </w:rPr>
        <w:br/>
      </w:r>
      <w:r w:rsidRPr="00AE495B">
        <w:rPr>
          <w:rFonts w:ascii="Calibri" w:eastAsia="Calibri" w:hAnsi="Calibri" w:cs="Arial"/>
          <w:b/>
          <w:bCs/>
          <w:kern w:val="0"/>
          <w:sz w:val="22"/>
          <w:szCs w:val="22"/>
          <w:rtl/>
          <w:lang w:val="en-US"/>
          <w14:ligatures w14:val="none"/>
        </w:rPr>
        <w:t>סוג תביעה</w:t>
      </w:r>
      <w:r w:rsidRPr="00AE495B">
        <w:rPr>
          <w:rFonts w:ascii="Calibri" w:eastAsia="Calibri" w:hAnsi="Calibri" w:cs="Arial"/>
          <w:b/>
          <w:bCs/>
          <w:kern w:val="0"/>
          <w:sz w:val="22"/>
          <w:szCs w:val="22"/>
          <w:lang w:val="en-US"/>
          <w14:ligatures w14:val="none"/>
        </w:rPr>
        <w:t>:</w:t>
      </w:r>
      <w:r w:rsidRPr="00AE495B">
        <w:rPr>
          <w:rFonts w:ascii="Calibri" w:eastAsia="Calibri" w:hAnsi="Calibri" w:cs="Arial"/>
          <w:kern w:val="0"/>
          <w:sz w:val="22"/>
          <w:szCs w:val="22"/>
          <w:lang w:val="en-US"/>
          <w14:ligatures w14:val="none"/>
        </w:rPr>
        <w:t xml:space="preserve"> </w:t>
      </w:r>
      <w:r w:rsidRPr="00AE495B">
        <w:rPr>
          <w:rFonts w:ascii="Calibri" w:eastAsia="Calibri" w:hAnsi="Calibri" w:cs="Arial"/>
          <w:kern w:val="0"/>
          <w:sz w:val="22"/>
          <w:szCs w:val="22"/>
          <w:rtl/>
          <w:lang w:val="en-US"/>
          <w14:ligatures w14:val="none"/>
        </w:rPr>
        <w:t>צו עשה – סילוק יד</w:t>
      </w:r>
      <w:r w:rsidRPr="00AE495B">
        <w:rPr>
          <w:rFonts w:ascii="Calibri" w:eastAsia="Calibri" w:hAnsi="Calibri" w:cs="Arial"/>
          <w:kern w:val="0"/>
          <w:sz w:val="22"/>
          <w:szCs w:val="22"/>
          <w:lang w:val="en-US"/>
          <w14:ligatures w14:val="none"/>
        </w:rPr>
        <w:br/>
      </w:r>
      <w:r w:rsidRPr="00AE495B">
        <w:rPr>
          <w:rFonts w:ascii="Calibri" w:eastAsia="Calibri" w:hAnsi="Calibri" w:cs="Arial"/>
          <w:b/>
          <w:bCs/>
          <w:kern w:val="0"/>
          <w:sz w:val="22"/>
          <w:szCs w:val="22"/>
          <w:rtl/>
          <w:lang w:val="en-US"/>
          <w14:ligatures w14:val="none"/>
        </w:rPr>
        <w:t>עו"ד מטפל</w:t>
      </w:r>
      <w:r w:rsidRPr="00AE495B">
        <w:rPr>
          <w:rFonts w:ascii="Calibri" w:eastAsia="Calibri" w:hAnsi="Calibri" w:cs="Arial"/>
          <w:b/>
          <w:bCs/>
          <w:kern w:val="0"/>
          <w:sz w:val="22"/>
          <w:szCs w:val="22"/>
          <w:lang w:val="en-US"/>
          <w14:ligatures w14:val="none"/>
        </w:rPr>
        <w:t>:</w:t>
      </w:r>
      <w:r w:rsidRPr="00AE495B">
        <w:rPr>
          <w:rFonts w:ascii="Calibri" w:eastAsia="Calibri" w:hAnsi="Calibri" w:cs="Arial"/>
          <w:kern w:val="0"/>
          <w:sz w:val="22"/>
          <w:szCs w:val="22"/>
          <w:lang w:val="en-US"/>
          <w14:ligatures w14:val="none"/>
        </w:rPr>
        <w:t xml:space="preserve"> </w:t>
      </w:r>
      <w:r w:rsidRPr="00AE495B">
        <w:rPr>
          <w:rFonts w:ascii="Calibri" w:eastAsia="Calibri" w:hAnsi="Calibri" w:cs="Arial"/>
          <w:kern w:val="0"/>
          <w:sz w:val="22"/>
          <w:szCs w:val="22"/>
          <w:rtl/>
          <w:lang w:val="en-US"/>
          <w14:ligatures w14:val="none"/>
        </w:rPr>
        <w:t>צבי אשכנזי</w:t>
      </w:r>
    </w:p>
    <w:p w14:paraId="4DEA194B" w14:textId="77777777" w:rsidR="00AE495B" w:rsidRPr="00AE495B" w:rsidRDefault="00AE495B" w:rsidP="00AE495B">
      <w:pPr>
        <w:bidi/>
        <w:spacing w:line="259" w:lineRule="auto"/>
        <w:rPr>
          <w:rFonts w:ascii="Calibri" w:eastAsia="Calibri" w:hAnsi="Calibri" w:cs="Arial"/>
          <w:kern w:val="0"/>
          <w:sz w:val="22"/>
          <w:szCs w:val="22"/>
          <w:lang w:val="en-US"/>
          <w14:ligatures w14:val="none"/>
        </w:rPr>
      </w:pPr>
      <w:r w:rsidRPr="00AE495B">
        <w:rPr>
          <w:rFonts w:ascii="Calibri" w:eastAsia="Calibri" w:hAnsi="Calibri" w:cs="Arial"/>
          <w:b/>
          <w:bCs/>
          <w:kern w:val="0"/>
          <w:sz w:val="22"/>
          <w:szCs w:val="22"/>
          <w:rtl/>
          <w:lang w:val="en-US"/>
          <w14:ligatures w14:val="none"/>
        </w:rPr>
        <w:t>רקע</w:t>
      </w:r>
      <w:r w:rsidRPr="00AE495B">
        <w:rPr>
          <w:rFonts w:ascii="Calibri" w:eastAsia="Calibri" w:hAnsi="Calibri" w:cs="Arial"/>
          <w:b/>
          <w:bCs/>
          <w:kern w:val="0"/>
          <w:sz w:val="22"/>
          <w:szCs w:val="22"/>
          <w:lang w:val="en-US"/>
          <w14:ligatures w14:val="none"/>
        </w:rPr>
        <w:t>:</w:t>
      </w:r>
      <w:r w:rsidRPr="00AE495B">
        <w:rPr>
          <w:rFonts w:ascii="Calibri" w:eastAsia="Calibri" w:hAnsi="Calibri" w:cs="Arial"/>
          <w:kern w:val="0"/>
          <w:sz w:val="22"/>
          <w:szCs w:val="22"/>
          <w:lang w:val="en-US"/>
          <w14:ligatures w14:val="none"/>
        </w:rPr>
        <w:br/>
      </w:r>
      <w:r w:rsidRPr="00AE495B">
        <w:rPr>
          <w:rFonts w:ascii="Calibri" w:eastAsia="Calibri" w:hAnsi="Calibri" w:cs="Arial"/>
          <w:kern w:val="0"/>
          <w:sz w:val="22"/>
          <w:szCs w:val="22"/>
          <w:rtl/>
          <w:lang w:val="en-US"/>
          <w14:ligatures w14:val="none"/>
        </w:rPr>
        <w:t>משרדנו ייצג בעל דירה בבניין משותף ברחוב הגפן 8 בנהריה. הבניין, הרשום כבית משותף, מורכב משני אגפים – האחד בן 5 דירות והשני בן 3 דירות</w:t>
      </w:r>
      <w:r w:rsidRPr="00AE495B">
        <w:rPr>
          <w:rFonts w:ascii="Calibri" w:eastAsia="Calibri" w:hAnsi="Calibri" w:cs="Arial"/>
          <w:kern w:val="0"/>
          <w:sz w:val="22"/>
          <w:szCs w:val="22"/>
          <w:lang w:val="en-US"/>
          <w14:ligatures w14:val="none"/>
        </w:rPr>
        <w:t>.</w:t>
      </w:r>
      <w:r w:rsidRPr="00AE495B">
        <w:rPr>
          <w:rFonts w:ascii="Calibri" w:eastAsia="Calibri" w:hAnsi="Calibri" w:cs="Arial"/>
          <w:kern w:val="0"/>
          <w:sz w:val="22"/>
          <w:szCs w:val="22"/>
          <w:lang w:val="en-US"/>
          <w14:ligatures w14:val="none"/>
        </w:rPr>
        <w:br/>
      </w:r>
      <w:r w:rsidRPr="00AE495B">
        <w:rPr>
          <w:rFonts w:ascii="Calibri" w:eastAsia="Calibri" w:hAnsi="Calibri" w:cs="Arial"/>
          <w:kern w:val="0"/>
          <w:sz w:val="22"/>
          <w:szCs w:val="22"/>
          <w:rtl/>
          <w:lang w:val="en-US"/>
          <w14:ligatures w14:val="none"/>
        </w:rPr>
        <w:t>הנתבע, בעל דירה באגף האחורי, החל לבצע שורה של עבודות בנייה וסיפוח בשטח המוגדר כרכוש משותף: הקמת קירות בטון, גידור, ריצוף, בניית דק עץ, התקנת מדרגות גישה ופריצת פתחים בקירות החיצוניים, תוך שינוי חזיתות המבנה. בנוסף, הוצבה פסולת בנייה בסמוך לחדר המדרגות, מה שהפריע לדיירים וליווה את השיפוץ בחיכוכים מתמשכים</w:t>
      </w:r>
      <w:r w:rsidRPr="00AE495B">
        <w:rPr>
          <w:rFonts w:ascii="Calibri" w:eastAsia="Calibri" w:hAnsi="Calibri" w:cs="Arial"/>
          <w:kern w:val="0"/>
          <w:sz w:val="22"/>
          <w:szCs w:val="22"/>
          <w:lang w:val="en-US"/>
          <w14:ligatures w14:val="none"/>
        </w:rPr>
        <w:t>.</w:t>
      </w:r>
    </w:p>
    <w:p w14:paraId="28D9202C" w14:textId="77777777" w:rsidR="00AE495B" w:rsidRPr="00AE495B" w:rsidRDefault="00AE495B" w:rsidP="00AE495B">
      <w:pPr>
        <w:bidi/>
        <w:spacing w:line="259" w:lineRule="auto"/>
        <w:rPr>
          <w:rFonts w:ascii="Calibri" w:eastAsia="Calibri" w:hAnsi="Calibri" w:cs="Arial"/>
          <w:kern w:val="0"/>
          <w:sz w:val="22"/>
          <w:szCs w:val="22"/>
          <w:lang w:val="en-US"/>
          <w14:ligatures w14:val="none"/>
        </w:rPr>
      </w:pPr>
      <w:r w:rsidRPr="00AE495B">
        <w:rPr>
          <w:rFonts w:ascii="Calibri" w:eastAsia="Calibri" w:hAnsi="Calibri" w:cs="Arial"/>
          <w:b/>
          <w:bCs/>
          <w:kern w:val="0"/>
          <w:sz w:val="22"/>
          <w:szCs w:val="22"/>
          <w:rtl/>
          <w:lang w:val="en-US"/>
          <w14:ligatures w14:val="none"/>
        </w:rPr>
        <w:t>האתגר המשפטי</w:t>
      </w:r>
      <w:r w:rsidRPr="00AE495B">
        <w:rPr>
          <w:rFonts w:ascii="Calibri" w:eastAsia="Calibri" w:hAnsi="Calibri" w:cs="Arial"/>
          <w:b/>
          <w:bCs/>
          <w:kern w:val="0"/>
          <w:sz w:val="22"/>
          <w:szCs w:val="22"/>
          <w:lang w:val="en-US"/>
          <w14:ligatures w14:val="none"/>
        </w:rPr>
        <w:t>:</w:t>
      </w:r>
      <w:r w:rsidRPr="00AE495B">
        <w:rPr>
          <w:rFonts w:ascii="Calibri" w:eastAsia="Calibri" w:hAnsi="Calibri" w:cs="Arial"/>
          <w:kern w:val="0"/>
          <w:sz w:val="22"/>
          <w:szCs w:val="22"/>
          <w:lang w:val="en-US"/>
          <w14:ligatures w14:val="none"/>
        </w:rPr>
        <w:br/>
      </w:r>
      <w:r w:rsidRPr="00AE495B">
        <w:rPr>
          <w:rFonts w:ascii="Calibri" w:eastAsia="Calibri" w:hAnsi="Calibri" w:cs="Arial"/>
          <w:kern w:val="0"/>
          <w:sz w:val="22"/>
          <w:szCs w:val="22"/>
          <w:rtl/>
          <w:lang w:val="en-US"/>
          <w14:ligatures w14:val="none"/>
        </w:rPr>
        <w:t>הנתבע טען כי ביצע את העבודות בהסכמה שבשתיקה מצד התובע ושאר הדיירים, ואף ניסה להציג את העיכוב בהגשת התביעה כשיהוי המעיד על הסכמה. בנוסף, הנתבע טען כי גם התובע ושכנים נוספים ביצעו בעבר שינויים ותוספות ברכוש המשותף, ולכן מדובר ב"אכיפה בררנית</w:t>
      </w:r>
      <w:r w:rsidRPr="00AE495B">
        <w:rPr>
          <w:rFonts w:ascii="Calibri" w:eastAsia="Calibri" w:hAnsi="Calibri" w:cs="Arial"/>
          <w:kern w:val="0"/>
          <w:sz w:val="22"/>
          <w:szCs w:val="22"/>
          <w:lang w:val="en-US"/>
          <w14:ligatures w14:val="none"/>
        </w:rPr>
        <w:t>".</w:t>
      </w:r>
    </w:p>
    <w:p w14:paraId="2CB40E3A" w14:textId="77777777" w:rsidR="00AE495B" w:rsidRPr="00AE495B" w:rsidRDefault="00AE495B" w:rsidP="00AE495B">
      <w:pPr>
        <w:bidi/>
        <w:spacing w:line="259" w:lineRule="auto"/>
        <w:rPr>
          <w:rFonts w:ascii="Calibri" w:eastAsia="Calibri" w:hAnsi="Calibri" w:cs="Arial"/>
          <w:kern w:val="0"/>
          <w:sz w:val="22"/>
          <w:szCs w:val="22"/>
          <w:lang w:val="en-US"/>
          <w14:ligatures w14:val="none"/>
        </w:rPr>
      </w:pPr>
      <w:r w:rsidRPr="00AE495B">
        <w:rPr>
          <w:rFonts w:ascii="Calibri" w:eastAsia="Calibri" w:hAnsi="Calibri" w:cs="Arial"/>
          <w:b/>
          <w:bCs/>
          <w:kern w:val="0"/>
          <w:sz w:val="22"/>
          <w:szCs w:val="22"/>
          <w:rtl/>
          <w:lang w:val="en-US"/>
          <w14:ligatures w14:val="none"/>
        </w:rPr>
        <w:t>הפעולות שביצענו</w:t>
      </w:r>
      <w:r w:rsidRPr="00AE495B">
        <w:rPr>
          <w:rFonts w:ascii="Calibri" w:eastAsia="Calibri" w:hAnsi="Calibri" w:cs="Arial"/>
          <w:b/>
          <w:bCs/>
          <w:kern w:val="0"/>
          <w:sz w:val="22"/>
          <w:szCs w:val="22"/>
          <w:lang w:val="en-US"/>
          <w14:ligatures w14:val="none"/>
        </w:rPr>
        <w:t>:</w:t>
      </w:r>
    </w:p>
    <w:p w14:paraId="1292A389" w14:textId="77777777" w:rsidR="00AE495B" w:rsidRPr="00AE495B" w:rsidRDefault="00AE495B" w:rsidP="00AE495B">
      <w:pPr>
        <w:numPr>
          <w:ilvl w:val="0"/>
          <w:numId w:val="1"/>
        </w:numPr>
        <w:bidi/>
        <w:spacing w:line="259" w:lineRule="auto"/>
        <w:rPr>
          <w:rFonts w:ascii="Calibri" w:eastAsia="Calibri" w:hAnsi="Calibri" w:cs="Arial"/>
          <w:kern w:val="0"/>
          <w:sz w:val="22"/>
          <w:szCs w:val="22"/>
          <w:lang w:val="en-US"/>
          <w14:ligatures w14:val="none"/>
        </w:rPr>
      </w:pPr>
      <w:r w:rsidRPr="00AE495B">
        <w:rPr>
          <w:rFonts w:ascii="Calibri" w:eastAsia="Calibri" w:hAnsi="Calibri" w:cs="Arial"/>
          <w:kern w:val="0"/>
          <w:sz w:val="22"/>
          <w:szCs w:val="22"/>
          <w:rtl/>
          <w:lang w:val="en-US"/>
          <w14:ligatures w14:val="none"/>
        </w:rPr>
        <w:t>הצגנו לבית המשפט תיעוד מצולם המראה כי העבודות שביצע הנתבע חרגו באופן מהותי מגבולות דירתו וחסמו שימוש חופשי ברכוש המשותף</w:t>
      </w:r>
      <w:r w:rsidRPr="00AE495B">
        <w:rPr>
          <w:rFonts w:ascii="Calibri" w:eastAsia="Calibri" w:hAnsi="Calibri" w:cs="Arial"/>
          <w:kern w:val="0"/>
          <w:sz w:val="22"/>
          <w:szCs w:val="22"/>
          <w:lang w:val="en-US"/>
          <w14:ligatures w14:val="none"/>
        </w:rPr>
        <w:t>.</w:t>
      </w:r>
    </w:p>
    <w:p w14:paraId="1E9877CB" w14:textId="77777777" w:rsidR="00AE495B" w:rsidRPr="00AE495B" w:rsidRDefault="00AE495B" w:rsidP="00AE495B">
      <w:pPr>
        <w:numPr>
          <w:ilvl w:val="0"/>
          <w:numId w:val="1"/>
        </w:numPr>
        <w:bidi/>
        <w:spacing w:line="259" w:lineRule="auto"/>
        <w:rPr>
          <w:rFonts w:ascii="Calibri" w:eastAsia="Calibri" w:hAnsi="Calibri" w:cs="Arial"/>
          <w:kern w:val="0"/>
          <w:sz w:val="22"/>
          <w:szCs w:val="22"/>
          <w:lang w:val="en-US"/>
          <w14:ligatures w14:val="none"/>
        </w:rPr>
      </w:pPr>
      <w:r w:rsidRPr="00AE495B">
        <w:rPr>
          <w:rFonts w:ascii="Calibri" w:eastAsia="Calibri" w:hAnsi="Calibri" w:cs="Arial"/>
          <w:kern w:val="0"/>
          <w:sz w:val="22"/>
          <w:szCs w:val="22"/>
          <w:rtl/>
          <w:lang w:val="en-US"/>
          <w14:ligatures w14:val="none"/>
        </w:rPr>
        <w:t>הוכחנו כי לא ניתנה לנתבע הסכמה בכתב או בעל פה, וכי עצם השיהוי בהגשת התביעה נבע מניסיונות כנים לפתור את המחלוקת בדרכי שלום</w:t>
      </w:r>
      <w:r w:rsidRPr="00AE495B">
        <w:rPr>
          <w:rFonts w:ascii="Calibri" w:eastAsia="Calibri" w:hAnsi="Calibri" w:cs="Arial"/>
          <w:kern w:val="0"/>
          <w:sz w:val="22"/>
          <w:szCs w:val="22"/>
          <w:lang w:val="en-US"/>
          <w14:ligatures w14:val="none"/>
        </w:rPr>
        <w:t>.</w:t>
      </w:r>
    </w:p>
    <w:p w14:paraId="5A3862FD" w14:textId="77777777" w:rsidR="00AE495B" w:rsidRPr="00AE495B" w:rsidRDefault="00AE495B" w:rsidP="00AE495B">
      <w:pPr>
        <w:numPr>
          <w:ilvl w:val="0"/>
          <w:numId w:val="1"/>
        </w:numPr>
        <w:bidi/>
        <w:spacing w:line="259" w:lineRule="auto"/>
        <w:rPr>
          <w:rFonts w:ascii="Calibri" w:eastAsia="Calibri" w:hAnsi="Calibri" w:cs="Arial"/>
          <w:kern w:val="0"/>
          <w:sz w:val="22"/>
          <w:szCs w:val="22"/>
          <w:lang w:val="en-US"/>
          <w14:ligatures w14:val="none"/>
        </w:rPr>
      </w:pPr>
      <w:r w:rsidRPr="00AE495B">
        <w:rPr>
          <w:rFonts w:ascii="Calibri" w:eastAsia="Calibri" w:hAnsi="Calibri" w:cs="Arial"/>
          <w:kern w:val="0"/>
          <w:sz w:val="22"/>
          <w:szCs w:val="22"/>
          <w:rtl/>
          <w:lang w:val="en-US"/>
          <w14:ligatures w14:val="none"/>
        </w:rPr>
        <w:t>הצגנו את תקנון הבית המוסכם, הקובע במפורש איסור על ביצוע עבודות בנייה או גידור ברכוש המשותף ללא הסכמת כלל בעלי הדירות</w:t>
      </w:r>
      <w:r w:rsidRPr="00AE495B">
        <w:rPr>
          <w:rFonts w:ascii="Calibri" w:eastAsia="Calibri" w:hAnsi="Calibri" w:cs="Arial"/>
          <w:kern w:val="0"/>
          <w:sz w:val="22"/>
          <w:szCs w:val="22"/>
          <w:lang w:val="en-US"/>
          <w14:ligatures w14:val="none"/>
        </w:rPr>
        <w:t>.</w:t>
      </w:r>
    </w:p>
    <w:p w14:paraId="403A5F40" w14:textId="77777777" w:rsidR="00AE495B" w:rsidRPr="00AE495B" w:rsidRDefault="00AE495B" w:rsidP="00AE495B">
      <w:pPr>
        <w:numPr>
          <w:ilvl w:val="0"/>
          <w:numId w:val="1"/>
        </w:numPr>
        <w:bidi/>
        <w:spacing w:line="259" w:lineRule="auto"/>
        <w:rPr>
          <w:rFonts w:ascii="Calibri" w:eastAsia="Calibri" w:hAnsi="Calibri" w:cs="Arial"/>
          <w:kern w:val="0"/>
          <w:sz w:val="22"/>
          <w:szCs w:val="22"/>
          <w:lang w:val="en-US"/>
          <w14:ligatures w14:val="none"/>
        </w:rPr>
      </w:pPr>
      <w:r w:rsidRPr="00AE495B">
        <w:rPr>
          <w:rFonts w:ascii="Calibri" w:eastAsia="Calibri" w:hAnsi="Calibri" w:cs="Arial"/>
          <w:kern w:val="0"/>
          <w:sz w:val="22"/>
          <w:szCs w:val="22"/>
          <w:rtl/>
          <w:lang w:val="en-US"/>
          <w14:ligatures w14:val="none"/>
        </w:rPr>
        <w:t>סתרנו את טענות "אכיפה בררנית" באמצעות הבהרה משפטית שמדובר במבנה של רכוש משותף שונה, כאשר העבודות שביצע הנתבע היו פולשניות ובלתי הפיכות בהיקף חריג</w:t>
      </w:r>
      <w:r w:rsidRPr="00AE495B">
        <w:rPr>
          <w:rFonts w:ascii="Calibri" w:eastAsia="Calibri" w:hAnsi="Calibri" w:cs="Arial"/>
          <w:kern w:val="0"/>
          <w:sz w:val="22"/>
          <w:szCs w:val="22"/>
          <w:lang w:val="en-US"/>
          <w14:ligatures w14:val="none"/>
        </w:rPr>
        <w:t>.</w:t>
      </w:r>
    </w:p>
    <w:p w14:paraId="1A64DDD7" w14:textId="77777777" w:rsidR="00AE495B" w:rsidRPr="00AE495B" w:rsidRDefault="00AE495B" w:rsidP="00AE495B">
      <w:pPr>
        <w:bidi/>
        <w:spacing w:line="259" w:lineRule="auto"/>
        <w:rPr>
          <w:rFonts w:ascii="Calibri" w:eastAsia="Calibri" w:hAnsi="Calibri" w:cs="Arial"/>
          <w:kern w:val="0"/>
          <w:sz w:val="22"/>
          <w:szCs w:val="22"/>
          <w:lang w:val="en-US"/>
          <w14:ligatures w14:val="none"/>
        </w:rPr>
      </w:pPr>
      <w:r w:rsidRPr="00AE495B">
        <w:rPr>
          <w:rFonts w:ascii="Calibri" w:eastAsia="Calibri" w:hAnsi="Calibri" w:cs="Arial"/>
          <w:b/>
          <w:bCs/>
          <w:kern w:val="0"/>
          <w:sz w:val="22"/>
          <w:szCs w:val="22"/>
          <w:rtl/>
          <w:lang w:val="en-US"/>
          <w14:ligatures w14:val="none"/>
        </w:rPr>
        <w:t>פסק הדין</w:t>
      </w:r>
      <w:r w:rsidRPr="00AE495B">
        <w:rPr>
          <w:rFonts w:ascii="Calibri" w:eastAsia="Calibri" w:hAnsi="Calibri" w:cs="Arial"/>
          <w:b/>
          <w:bCs/>
          <w:kern w:val="0"/>
          <w:sz w:val="22"/>
          <w:szCs w:val="22"/>
          <w:lang w:val="en-US"/>
          <w14:ligatures w14:val="none"/>
        </w:rPr>
        <w:t>:</w:t>
      </w:r>
      <w:r w:rsidRPr="00AE495B">
        <w:rPr>
          <w:rFonts w:ascii="Calibri" w:eastAsia="Calibri" w:hAnsi="Calibri" w:cs="Arial"/>
          <w:kern w:val="0"/>
          <w:sz w:val="22"/>
          <w:szCs w:val="22"/>
          <w:lang w:val="en-US"/>
          <w14:ligatures w14:val="none"/>
        </w:rPr>
        <w:br/>
      </w:r>
      <w:r w:rsidRPr="00AE495B">
        <w:rPr>
          <w:rFonts w:ascii="Calibri" w:eastAsia="Calibri" w:hAnsi="Calibri" w:cs="Arial"/>
          <w:kern w:val="0"/>
          <w:sz w:val="22"/>
          <w:szCs w:val="22"/>
          <w:rtl/>
          <w:lang w:val="en-US"/>
          <w14:ligatures w14:val="none"/>
        </w:rPr>
        <w:t>בית המשפט קיבל את עמדת משרדנו והורה</w:t>
      </w:r>
      <w:r w:rsidRPr="00AE495B">
        <w:rPr>
          <w:rFonts w:ascii="Calibri" w:eastAsia="Calibri" w:hAnsi="Calibri" w:cs="Arial"/>
          <w:kern w:val="0"/>
          <w:sz w:val="22"/>
          <w:szCs w:val="22"/>
          <w:lang w:val="en-US"/>
          <w14:ligatures w14:val="none"/>
        </w:rPr>
        <w:t>:</w:t>
      </w:r>
    </w:p>
    <w:p w14:paraId="2A9F2E70" w14:textId="77777777" w:rsidR="00AE495B" w:rsidRPr="00AE495B" w:rsidRDefault="00AE495B" w:rsidP="00AE495B">
      <w:pPr>
        <w:numPr>
          <w:ilvl w:val="0"/>
          <w:numId w:val="2"/>
        </w:numPr>
        <w:bidi/>
        <w:spacing w:line="259" w:lineRule="auto"/>
        <w:rPr>
          <w:rFonts w:ascii="Calibri" w:eastAsia="Calibri" w:hAnsi="Calibri" w:cs="Arial"/>
          <w:kern w:val="0"/>
          <w:sz w:val="22"/>
          <w:szCs w:val="22"/>
          <w:lang w:val="en-US"/>
          <w14:ligatures w14:val="none"/>
        </w:rPr>
      </w:pPr>
      <w:r w:rsidRPr="00AE495B">
        <w:rPr>
          <w:rFonts w:ascii="Calibri" w:eastAsia="Calibri" w:hAnsi="Calibri" w:cs="Arial"/>
          <w:kern w:val="0"/>
          <w:sz w:val="22"/>
          <w:szCs w:val="22"/>
          <w:rtl/>
          <w:lang w:val="en-US"/>
          <w14:ligatures w14:val="none"/>
        </w:rPr>
        <w:t>לנתבע להרוס את כל תוספות הבנייה שביצע ברכוש המשותף</w:t>
      </w:r>
      <w:r w:rsidRPr="00AE495B">
        <w:rPr>
          <w:rFonts w:ascii="Calibri" w:eastAsia="Calibri" w:hAnsi="Calibri" w:cs="Arial"/>
          <w:kern w:val="0"/>
          <w:sz w:val="22"/>
          <w:szCs w:val="22"/>
          <w:lang w:val="en-US"/>
          <w14:ligatures w14:val="none"/>
        </w:rPr>
        <w:t>.</w:t>
      </w:r>
    </w:p>
    <w:p w14:paraId="37C55468" w14:textId="77777777" w:rsidR="00AE495B" w:rsidRPr="00AE495B" w:rsidRDefault="00AE495B" w:rsidP="00AE495B">
      <w:pPr>
        <w:numPr>
          <w:ilvl w:val="0"/>
          <w:numId w:val="2"/>
        </w:numPr>
        <w:bidi/>
        <w:spacing w:line="259" w:lineRule="auto"/>
        <w:rPr>
          <w:rFonts w:ascii="Calibri" w:eastAsia="Calibri" w:hAnsi="Calibri" w:cs="Arial"/>
          <w:kern w:val="0"/>
          <w:sz w:val="22"/>
          <w:szCs w:val="22"/>
          <w:lang w:val="en-US"/>
          <w14:ligatures w14:val="none"/>
        </w:rPr>
      </w:pPr>
      <w:r w:rsidRPr="00AE495B">
        <w:rPr>
          <w:rFonts w:ascii="Calibri" w:eastAsia="Calibri" w:hAnsi="Calibri" w:cs="Arial"/>
          <w:kern w:val="0"/>
          <w:sz w:val="22"/>
          <w:szCs w:val="22"/>
          <w:rtl/>
          <w:lang w:val="en-US"/>
          <w14:ligatures w14:val="none"/>
        </w:rPr>
        <w:t>להשיב את המצב לקדמותו בתוך פרק זמן מוגדר</w:t>
      </w:r>
      <w:r w:rsidRPr="00AE495B">
        <w:rPr>
          <w:rFonts w:ascii="Calibri" w:eastAsia="Calibri" w:hAnsi="Calibri" w:cs="Arial"/>
          <w:kern w:val="0"/>
          <w:sz w:val="22"/>
          <w:szCs w:val="22"/>
          <w:lang w:val="en-US"/>
          <w14:ligatures w14:val="none"/>
        </w:rPr>
        <w:t>.</w:t>
      </w:r>
    </w:p>
    <w:p w14:paraId="2843EBD4" w14:textId="77777777" w:rsidR="00AE495B" w:rsidRPr="00AE495B" w:rsidRDefault="00AE495B" w:rsidP="00AE495B">
      <w:pPr>
        <w:numPr>
          <w:ilvl w:val="0"/>
          <w:numId w:val="2"/>
        </w:numPr>
        <w:bidi/>
        <w:spacing w:line="259" w:lineRule="auto"/>
        <w:rPr>
          <w:rFonts w:ascii="Calibri" w:eastAsia="Calibri" w:hAnsi="Calibri" w:cs="Arial"/>
          <w:kern w:val="0"/>
          <w:sz w:val="22"/>
          <w:szCs w:val="22"/>
          <w:lang w:val="en-US"/>
          <w14:ligatures w14:val="none"/>
        </w:rPr>
      </w:pPr>
      <w:r w:rsidRPr="00AE495B">
        <w:rPr>
          <w:rFonts w:ascii="Calibri" w:eastAsia="Calibri" w:hAnsi="Calibri" w:cs="Arial"/>
          <w:kern w:val="0"/>
          <w:sz w:val="22"/>
          <w:szCs w:val="22"/>
          <w:rtl/>
          <w:lang w:val="en-US"/>
          <w14:ligatures w14:val="none"/>
        </w:rPr>
        <w:t>לשאת במלוא הוצאות המשפט ושכ"ט עו"ד של לקוחותינו</w:t>
      </w:r>
      <w:r w:rsidRPr="00AE495B">
        <w:rPr>
          <w:rFonts w:ascii="Calibri" w:eastAsia="Calibri" w:hAnsi="Calibri" w:cs="Arial"/>
          <w:kern w:val="0"/>
          <w:sz w:val="22"/>
          <w:szCs w:val="22"/>
          <w:lang w:val="en-US"/>
          <w14:ligatures w14:val="none"/>
        </w:rPr>
        <w:t>.</w:t>
      </w:r>
    </w:p>
    <w:p w14:paraId="50BAF9E2" w14:textId="77777777" w:rsidR="00AE495B" w:rsidRPr="00AE495B" w:rsidRDefault="00AE495B" w:rsidP="00AE495B">
      <w:pPr>
        <w:bidi/>
        <w:spacing w:line="259" w:lineRule="auto"/>
        <w:rPr>
          <w:rFonts w:ascii="Calibri" w:eastAsia="Calibri" w:hAnsi="Calibri" w:cs="Arial"/>
          <w:kern w:val="0"/>
          <w:sz w:val="22"/>
          <w:szCs w:val="22"/>
          <w:lang w:val="en-US"/>
          <w14:ligatures w14:val="none"/>
        </w:rPr>
      </w:pPr>
      <w:r w:rsidRPr="00AE495B">
        <w:rPr>
          <w:rFonts w:ascii="Calibri" w:eastAsia="Calibri" w:hAnsi="Calibri" w:cs="Arial"/>
          <w:b/>
          <w:bCs/>
          <w:kern w:val="0"/>
          <w:sz w:val="22"/>
          <w:szCs w:val="22"/>
          <w:rtl/>
          <w:lang w:val="en-US"/>
          <w14:ligatures w14:val="none"/>
        </w:rPr>
        <w:t>התוצאה</w:t>
      </w:r>
      <w:r w:rsidRPr="00AE495B">
        <w:rPr>
          <w:rFonts w:ascii="Calibri" w:eastAsia="Calibri" w:hAnsi="Calibri" w:cs="Arial"/>
          <w:b/>
          <w:bCs/>
          <w:kern w:val="0"/>
          <w:sz w:val="22"/>
          <w:szCs w:val="22"/>
          <w:lang w:val="en-US"/>
          <w14:ligatures w14:val="none"/>
        </w:rPr>
        <w:t>:</w:t>
      </w:r>
      <w:r w:rsidRPr="00AE495B">
        <w:rPr>
          <w:rFonts w:ascii="Calibri" w:eastAsia="Calibri" w:hAnsi="Calibri" w:cs="Arial"/>
          <w:kern w:val="0"/>
          <w:sz w:val="22"/>
          <w:szCs w:val="22"/>
          <w:lang w:val="en-US"/>
          <w14:ligatures w14:val="none"/>
        </w:rPr>
        <w:br/>
      </w:r>
      <w:r w:rsidRPr="00AE495B">
        <w:rPr>
          <w:rFonts w:ascii="Calibri" w:eastAsia="Calibri" w:hAnsi="Calibri" w:cs="Arial"/>
          <w:kern w:val="0"/>
          <w:sz w:val="22"/>
          <w:szCs w:val="22"/>
          <w:rtl/>
          <w:lang w:val="en-US"/>
          <w14:ligatures w14:val="none"/>
        </w:rPr>
        <w:t>השטח המשותף הושב לשימוש כלל הדיירים, החזיתות חזרו למראן המקורי, והופסקו ניסיונות הנתבע להמשיך בבנייה</w:t>
      </w:r>
      <w:r w:rsidRPr="00AE495B">
        <w:rPr>
          <w:rFonts w:ascii="Calibri" w:eastAsia="Calibri" w:hAnsi="Calibri" w:cs="Arial"/>
          <w:kern w:val="0"/>
          <w:sz w:val="22"/>
          <w:szCs w:val="22"/>
          <w:lang w:val="en-US"/>
          <w14:ligatures w14:val="none"/>
        </w:rPr>
        <w:t>.</w:t>
      </w:r>
      <w:r w:rsidRPr="00AE495B">
        <w:rPr>
          <w:rFonts w:ascii="Calibri" w:eastAsia="Calibri" w:hAnsi="Calibri" w:cs="Arial"/>
          <w:kern w:val="0"/>
          <w:sz w:val="22"/>
          <w:szCs w:val="22"/>
          <w:lang w:val="en-US"/>
          <w14:ligatures w14:val="none"/>
        </w:rPr>
        <w:br/>
      </w:r>
      <w:r w:rsidRPr="00AE495B">
        <w:rPr>
          <w:rFonts w:ascii="Calibri" w:eastAsia="Calibri" w:hAnsi="Calibri" w:cs="Arial"/>
          <w:kern w:val="0"/>
          <w:sz w:val="22"/>
          <w:szCs w:val="22"/>
          <w:rtl/>
          <w:lang w:val="en-US"/>
          <w14:ligatures w14:val="none"/>
        </w:rPr>
        <w:t>משרדנו הצליח לאכוף את הוראות התקנון ולהגן על זכויות לקוחותינו, תוך שמירה על עקרון השוויון בין בעלי הדירות ומניעת פגיעה מתמשכת בערך הנכס המשותף</w:t>
      </w:r>
      <w:r w:rsidRPr="00AE495B">
        <w:rPr>
          <w:rFonts w:ascii="Calibri" w:eastAsia="Calibri" w:hAnsi="Calibri" w:cs="Arial"/>
          <w:kern w:val="0"/>
          <w:sz w:val="22"/>
          <w:szCs w:val="22"/>
          <w:lang w:val="en-US"/>
          <w14:ligatures w14:val="none"/>
        </w:rPr>
        <w:t>.</w:t>
      </w:r>
    </w:p>
    <w:p w14:paraId="68A25699" w14:textId="77777777" w:rsidR="00AE495B" w:rsidRPr="00AE495B" w:rsidRDefault="00AE495B">
      <w:pPr>
        <w:rPr>
          <w:lang w:val="en-US"/>
        </w:rPr>
      </w:pPr>
    </w:p>
    <w:sectPr w:rsidR="00AE495B" w:rsidRPr="00AE4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757C"/>
    <w:multiLevelType w:val="multilevel"/>
    <w:tmpl w:val="E79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92823"/>
    <w:multiLevelType w:val="multilevel"/>
    <w:tmpl w:val="FF30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988204">
    <w:abstractNumId w:val="1"/>
  </w:num>
  <w:num w:numId="2" w16cid:durableId="162564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5B"/>
    <w:rsid w:val="00AE495B"/>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69D4"/>
  <w15:chartTrackingRefBased/>
  <w15:docId w15:val="{2A689601-FA3A-4BAF-9C9F-5FBB9492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9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9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9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9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9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9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9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95B"/>
    <w:rPr>
      <w:rFonts w:eastAsiaTheme="majorEastAsia" w:cstheme="majorBidi"/>
      <w:color w:val="272727" w:themeColor="text1" w:themeTint="D8"/>
    </w:rPr>
  </w:style>
  <w:style w:type="paragraph" w:styleId="Title">
    <w:name w:val="Title"/>
    <w:basedOn w:val="Normal"/>
    <w:next w:val="Normal"/>
    <w:link w:val="TitleChar"/>
    <w:uiPriority w:val="10"/>
    <w:qFormat/>
    <w:rsid w:val="00AE4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9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95B"/>
    <w:pPr>
      <w:spacing w:before="160"/>
      <w:jc w:val="center"/>
    </w:pPr>
    <w:rPr>
      <w:i/>
      <w:iCs/>
      <w:color w:val="404040" w:themeColor="text1" w:themeTint="BF"/>
    </w:rPr>
  </w:style>
  <w:style w:type="character" w:customStyle="1" w:styleId="QuoteChar">
    <w:name w:val="Quote Char"/>
    <w:basedOn w:val="DefaultParagraphFont"/>
    <w:link w:val="Quote"/>
    <w:uiPriority w:val="29"/>
    <w:rsid w:val="00AE495B"/>
    <w:rPr>
      <w:i/>
      <w:iCs/>
      <w:color w:val="404040" w:themeColor="text1" w:themeTint="BF"/>
    </w:rPr>
  </w:style>
  <w:style w:type="paragraph" w:styleId="ListParagraph">
    <w:name w:val="List Paragraph"/>
    <w:basedOn w:val="Normal"/>
    <w:uiPriority w:val="34"/>
    <w:qFormat/>
    <w:rsid w:val="00AE495B"/>
    <w:pPr>
      <w:ind w:left="720"/>
      <w:contextualSpacing/>
    </w:pPr>
  </w:style>
  <w:style w:type="character" w:styleId="IntenseEmphasis">
    <w:name w:val="Intense Emphasis"/>
    <w:basedOn w:val="DefaultParagraphFont"/>
    <w:uiPriority w:val="21"/>
    <w:qFormat/>
    <w:rsid w:val="00AE495B"/>
    <w:rPr>
      <w:i/>
      <w:iCs/>
      <w:color w:val="0F4761" w:themeColor="accent1" w:themeShade="BF"/>
    </w:rPr>
  </w:style>
  <w:style w:type="paragraph" w:styleId="IntenseQuote">
    <w:name w:val="Intense Quote"/>
    <w:basedOn w:val="Normal"/>
    <w:next w:val="Normal"/>
    <w:link w:val="IntenseQuoteChar"/>
    <w:uiPriority w:val="30"/>
    <w:qFormat/>
    <w:rsid w:val="00AE4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95B"/>
    <w:rPr>
      <w:i/>
      <w:iCs/>
      <w:color w:val="0F4761" w:themeColor="accent1" w:themeShade="BF"/>
    </w:rPr>
  </w:style>
  <w:style w:type="character" w:styleId="IntenseReference">
    <w:name w:val="Intense Reference"/>
    <w:basedOn w:val="DefaultParagraphFont"/>
    <w:uiPriority w:val="32"/>
    <w:qFormat/>
    <w:rsid w:val="00AE49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2025-09-03T08:01:00Z</dcterms:created>
  <dcterms:modified xsi:type="dcterms:W3CDTF">2025-09-03T08:02:00Z</dcterms:modified>
</cp:coreProperties>
</file>