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A9539" w14:textId="77777777" w:rsidR="00AC4C6D" w:rsidRPr="00AC4C6D" w:rsidRDefault="00AC4C6D" w:rsidP="00AC4C6D">
      <w:p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b/>
          <w:bCs/>
          <w:kern w:val="0"/>
          <w:sz w:val="22"/>
          <w:szCs w:val="22"/>
          <w:rtl/>
          <w:lang w:val="en-US"/>
          <w14:ligatures w14:val="none"/>
        </w:rPr>
        <w:t>סיפור הצלחה – משרדנו עצר בנייה לא חוקית ושמר על זכויות הדיירים ברכוש המשותף</w:t>
      </w:r>
      <w:r w:rsidRPr="00AC4C6D">
        <w:rPr>
          <w:rFonts w:ascii="Calibri" w:eastAsia="Calibri" w:hAnsi="Calibri" w:cs="Arial"/>
          <w:kern w:val="0"/>
          <w:sz w:val="22"/>
          <w:szCs w:val="22"/>
          <w:lang w:val="en-US"/>
          <w14:ligatures w14:val="none"/>
        </w:rPr>
        <w:br/>
      </w:r>
      <w:r w:rsidRPr="00AC4C6D">
        <w:rPr>
          <w:rFonts w:ascii="Calibri" w:eastAsia="Calibri" w:hAnsi="Calibri" w:cs="Arial"/>
          <w:b/>
          <w:bCs/>
          <w:kern w:val="0"/>
          <w:sz w:val="22"/>
          <w:szCs w:val="22"/>
          <w:rtl/>
          <w:lang w:val="en-US"/>
          <w14:ligatures w14:val="none"/>
        </w:rPr>
        <w:t>סוג תביעה</w:t>
      </w:r>
      <w:r w:rsidRPr="00AC4C6D">
        <w:rPr>
          <w:rFonts w:ascii="Calibri" w:eastAsia="Calibri" w:hAnsi="Calibri" w:cs="Arial"/>
          <w:b/>
          <w:bCs/>
          <w:kern w:val="0"/>
          <w:sz w:val="22"/>
          <w:szCs w:val="22"/>
          <w:lang w:val="en-US"/>
          <w14:ligatures w14:val="none"/>
        </w:rPr>
        <w:t>:</w:t>
      </w:r>
      <w:r w:rsidRPr="00AC4C6D">
        <w:rPr>
          <w:rFonts w:ascii="Calibri" w:eastAsia="Calibri" w:hAnsi="Calibri" w:cs="Arial"/>
          <w:kern w:val="0"/>
          <w:sz w:val="22"/>
          <w:szCs w:val="22"/>
          <w:lang w:val="en-US"/>
          <w14:ligatures w14:val="none"/>
        </w:rPr>
        <w:t xml:space="preserve"> </w:t>
      </w:r>
      <w:r w:rsidRPr="00AC4C6D">
        <w:rPr>
          <w:rFonts w:ascii="Calibri" w:eastAsia="Calibri" w:hAnsi="Calibri" w:cs="Arial"/>
          <w:kern w:val="0"/>
          <w:sz w:val="22"/>
          <w:szCs w:val="22"/>
          <w:rtl/>
          <w:lang w:val="en-US"/>
          <w14:ligatures w14:val="none"/>
        </w:rPr>
        <w:t>צו לא תעשה – מניעת עבודות בנייה</w:t>
      </w:r>
      <w:r w:rsidRPr="00AC4C6D">
        <w:rPr>
          <w:rFonts w:ascii="Calibri" w:eastAsia="Calibri" w:hAnsi="Calibri" w:cs="Arial"/>
          <w:kern w:val="0"/>
          <w:sz w:val="22"/>
          <w:szCs w:val="22"/>
          <w:lang w:val="en-US"/>
          <w14:ligatures w14:val="none"/>
        </w:rPr>
        <w:br/>
      </w:r>
      <w:r w:rsidRPr="00AC4C6D">
        <w:rPr>
          <w:rFonts w:ascii="Calibri" w:eastAsia="Calibri" w:hAnsi="Calibri" w:cs="Arial"/>
          <w:b/>
          <w:bCs/>
          <w:kern w:val="0"/>
          <w:sz w:val="22"/>
          <w:szCs w:val="22"/>
          <w:rtl/>
          <w:lang w:val="en-US"/>
          <w14:ligatures w14:val="none"/>
        </w:rPr>
        <w:t>עו"ד מטפל</w:t>
      </w:r>
      <w:r w:rsidRPr="00AC4C6D">
        <w:rPr>
          <w:rFonts w:ascii="Calibri" w:eastAsia="Calibri" w:hAnsi="Calibri" w:cs="Arial"/>
          <w:b/>
          <w:bCs/>
          <w:kern w:val="0"/>
          <w:sz w:val="22"/>
          <w:szCs w:val="22"/>
          <w:lang w:val="en-US"/>
          <w14:ligatures w14:val="none"/>
        </w:rPr>
        <w:t>:</w:t>
      </w:r>
      <w:r w:rsidRPr="00AC4C6D">
        <w:rPr>
          <w:rFonts w:ascii="Calibri" w:eastAsia="Calibri" w:hAnsi="Calibri" w:cs="Arial"/>
          <w:kern w:val="0"/>
          <w:sz w:val="22"/>
          <w:szCs w:val="22"/>
          <w:lang w:val="en-US"/>
          <w14:ligatures w14:val="none"/>
        </w:rPr>
        <w:t xml:space="preserve"> </w:t>
      </w:r>
      <w:r w:rsidRPr="00AC4C6D">
        <w:rPr>
          <w:rFonts w:ascii="Calibri" w:eastAsia="Calibri" w:hAnsi="Calibri" w:cs="Arial"/>
          <w:kern w:val="0"/>
          <w:sz w:val="22"/>
          <w:szCs w:val="22"/>
          <w:rtl/>
          <w:lang w:val="en-US"/>
          <w14:ligatures w14:val="none"/>
        </w:rPr>
        <w:t>צבי אשכנזי</w:t>
      </w:r>
    </w:p>
    <w:p w14:paraId="381B651A" w14:textId="77777777" w:rsidR="00AC4C6D" w:rsidRPr="00AC4C6D" w:rsidRDefault="00AC4C6D" w:rsidP="00AC4C6D">
      <w:p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b/>
          <w:bCs/>
          <w:kern w:val="0"/>
          <w:sz w:val="22"/>
          <w:szCs w:val="22"/>
          <w:rtl/>
          <w:lang w:val="en-US"/>
          <w14:ligatures w14:val="none"/>
        </w:rPr>
        <w:t>רקע</w:t>
      </w:r>
      <w:r w:rsidRPr="00AC4C6D">
        <w:rPr>
          <w:rFonts w:ascii="Calibri" w:eastAsia="Calibri" w:hAnsi="Calibri" w:cs="Arial"/>
          <w:b/>
          <w:bCs/>
          <w:kern w:val="0"/>
          <w:sz w:val="22"/>
          <w:szCs w:val="22"/>
          <w:lang w:val="en-US"/>
          <w14:ligatures w14:val="none"/>
        </w:rPr>
        <w:t>:</w:t>
      </w:r>
      <w:r w:rsidRPr="00AC4C6D">
        <w:rPr>
          <w:rFonts w:ascii="Calibri" w:eastAsia="Calibri" w:hAnsi="Calibri" w:cs="Arial"/>
          <w:kern w:val="0"/>
          <w:sz w:val="22"/>
          <w:szCs w:val="22"/>
          <w:lang w:val="en-US"/>
          <w14:ligatures w14:val="none"/>
        </w:rPr>
        <w:br/>
      </w:r>
      <w:r w:rsidRPr="00AC4C6D">
        <w:rPr>
          <w:rFonts w:ascii="Calibri" w:eastAsia="Calibri" w:hAnsi="Calibri" w:cs="Arial"/>
          <w:kern w:val="0"/>
          <w:sz w:val="22"/>
          <w:szCs w:val="22"/>
          <w:rtl/>
          <w:lang w:val="en-US"/>
          <w14:ligatures w14:val="none"/>
        </w:rPr>
        <w:t xml:space="preserve">משרדנו ייצג קבוצת בעלי דירות בבניין משותף ברחוב איינשטיין בחיפה, שנחשפו </w:t>
      </w:r>
      <w:proofErr w:type="spellStart"/>
      <w:r w:rsidRPr="00AC4C6D">
        <w:rPr>
          <w:rFonts w:ascii="Calibri" w:eastAsia="Calibri" w:hAnsi="Calibri" w:cs="Arial"/>
          <w:kern w:val="0"/>
          <w:sz w:val="22"/>
          <w:szCs w:val="22"/>
          <w:rtl/>
          <w:lang w:val="en-US"/>
          <w14:ligatures w14:val="none"/>
        </w:rPr>
        <w:t>לתכנית</w:t>
      </w:r>
      <w:proofErr w:type="spellEnd"/>
      <w:r w:rsidRPr="00AC4C6D">
        <w:rPr>
          <w:rFonts w:ascii="Calibri" w:eastAsia="Calibri" w:hAnsi="Calibri" w:cs="Arial"/>
          <w:kern w:val="0"/>
          <w:sz w:val="22"/>
          <w:szCs w:val="22"/>
          <w:rtl/>
          <w:lang w:val="en-US"/>
          <w14:ligatures w14:val="none"/>
        </w:rPr>
        <w:t xml:space="preserve"> רחבת היקף של בעלי דירות באגף האחורי לבצע עבודות בנייה ברכוש המשותף – כולל התקנת מעלית, חפירת פיר, בניית שביל תת-קרקעי ומבנה מעבר</w:t>
      </w:r>
      <w:r w:rsidRPr="00AC4C6D">
        <w:rPr>
          <w:rFonts w:ascii="Calibri" w:eastAsia="Calibri" w:hAnsi="Calibri" w:cs="Arial"/>
          <w:kern w:val="0"/>
          <w:sz w:val="22"/>
          <w:szCs w:val="22"/>
          <w:lang w:val="en-US"/>
          <w14:ligatures w14:val="none"/>
        </w:rPr>
        <w:t>.</w:t>
      </w:r>
      <w:r w:rsidRPr="00AC4C6D">
        <w:rPr>
          <w:rFonts w:ascii="Calibri" w:eastAsia="Calibri" w:hAnsi="Calibri" w:cs="Arial"/>
          <w:kern w:val="0"/>
          <w:sz w:val="22"/>
          <w:szCs w:val="22"/>
          <w:lang w:val="en-US"/>
          <w14:ligatures w14:val="none"/>
        </w:rPr>
        <w:br/>
      </w:r>
      <w:r w:rsidRPr="00AC4C6D">
        <w:rPr>
          <w:rFonts w:ascii="Calibri" w:eastAsia="Calibri" w:hAnsi="Calibri" w:cs="Arial"/>
          <w:kern w:val="0"/>
          <w:sz w:val="22"/>
          <w:szCs w:val="22"/>
          <w:rtl/>
          <w:lang w:val="en-US"/>
          <w14:ligatures w14:val="none"/>
        </w:rPr>
        <w:t>הפרויקט נועד לשרת בעיקר את דיירי המבנה האחורי, תוך השתלטות על חלקים ניכרים מהחצר המשותפת ופגיעה בזכויות לקוחותינו, מבלי שהתקבלה הסכמת כלל בעלי הדירות כנדרש בחוק</w:t>
      </w:r>
      <w:r w:rsidRPr="00AC4C6D">
        <w:rPr>
          <w:rFonts w:ascii="Calibri" w:eastAsia="Calibri" w:hAnsi="Calibri" w:cs="Arial"/>
          <w:kern w:val="0"/>
          <w:sz w:val="22"/>
          <w:szCs w:val="22"/>
          <w:lang w:val="en-US"/>
          <w14:ligatures w14:val="none"/>
        </w:rPr>
        <w:t>.</w:t>
      </w:r>
    </w:p>
    <w:p w14:paraId="0E027588" w14:textId="77777777" w:rsidR="00AC4C6D" w:rsidRPr="00AC4C6D" w:rsidRDefault="00AC4C6D" w:rsidP="00AC4C6D">
      <w:p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b/>
          <w:bCs/>
          <w:kern w:val="0"/>
          <w:sz w:val="22"/>
          <w:szCs w:val="22"/>
          <w:rtl/>
          <w:lang w:val="en-US"/>
          <w14:ligatures w14:val="none"/>
        </w:rPr>
        <w:t>האתגר המשפטי</w:t>
      </w:r>
      <w:r w:rsidRPr="00AC4C6D">
        <w:rPr>
          <w:rFonts w:ascii="Calibri" w:eastAsia="Calibri" w:hAnsi="Calibri" w:cs="Arial"/>
          <w:b/>
          <w:bCs/>
          <w:kern w:val="0"/>
          <w:sz w:val="22"/>
          <w:szCs w:val="22"/>
          <w:lang w:val="en-US"/>
          <w14:ligatures w14:val="none"/>
        </w:rPr>
        <w:t>:</w:t>
      </w:r>
      <w:r w:rsidRPr="00AC4C6D">
        <w:rPr>
          <w:rFonts w:ascii="Calibri" w:eastAsia="Calibri" w:hAnsi="Calibri" w:cs="Arial"/>
          <w:kern w:val="0"/>
          <w:sz w:val="22"/>
          <w:szCs w:val="22"/>
          <w:lang w:val="en-US"/>
          <w14:ligatures w14:val="none"/>
        </w:rPr>
        <w:br/>
      </w:r>
      <w:r w:rsidRPr="00AC4C6D">
        <w:rPr>
          <w:rFonts w:ascii="Calibri" w:eastAsia="Calibri" w:hAnsi="Calibri" w:cs="Arial"/>
          <w:kern w:val="0"/>
          <w:sz w:val="22"/>
          <w:szCs w:val="22"/>
          <w:rtl/>
          <w:lang w:val="en-US"/>
          <w14:ligatures w14:val="none"/>
        </w:rPr>
        <w:t>הנתבעים טענו שהעבודות חוקיות, נתמכות באישורי העירייה, ושהן מיועדות לשיפור הנגישות בלבד. הם ניסו להציג את התנגדות לקוחותינו כ"חסרת תום לב" ולהסתמך על רוב חלקי של בעלי דירות, במקום על ההסכמה המלאה שנדרשת לשינויים מהותיים ברכוש משותף</w:t>
      </w:r>
      <w:r w:rsidRPr="00AC4C6D">
        <w:rPr>
          <w:rFonts w:ascii="Calibri" w:eastAsia="Calibri" w:hAnsi="Calibri" w:cs="Arial"/>
          <w:kern w:val="0"/>
          <w:sz w:val="22"/>
          <w:szCs w:val="22"/>
          <w:lang w:val="en-US"/>
          <w14:ligatures w14:val="none"/>
        </w:rPr>
        <w:t>.</w:t>
      </w:r>
    </w:p>
    <w:p w14:paraId="0F63A924" w14:textId="77777777" w:rsidR="00AC4C6D" w:rsidRPr="00AC4C6D" w:rsidRDefault="00AC4C6D" w:rsidP="00AC4C6D">
      <w:p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b/>
          <w:bCs/>
          <w:kern w:val="0"/>
          <w:sz w:val="22"/>
          <w:szCs w:val="22"/>
          <w:rtl/>
          <w:lang w:val="en-US"/>
          <w14:ligatures w14:val="none"/>
        </w:rPr>
        <w:t>הפעולות שביצענו</w:t>
      </w:r>
      <w:r w:rsidRPr="00AC4C6D">
        <w:rPr>
          <w:rFonts w:ascii="Calibri" w:eastAsia="Calibri" w:hAnsi="Calibri" w:cs="Arial"/>
          <w:b/>
          <w:bCs/>
          <w:kern w:val="0"/>
          <w:sz w:val="22"/>
          <w:szCs w:val="22"/>
          <w:lang w:val="en-US"/>
          <w14:ligatures w14:val="none"/>
        </w:rPr>
        <w:t>:</w:t>
      </w:r>
    </w:p>
    <w:p w14:paraId="7D5C8F89" w14:textId="77777777" w:rsidR="00AC4C6D" w:rsidRPr="00AC4C6D" w:rsidRDefault="00AC4C6D" w:rsidP="00AC4C6D">
      <w:pPr>
        <w:numPr>
          <w:ilvl w:val="0"/>
          <w:numId w:val="1"/>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 xml:space="preserve">הגשנו בקשה לצו מניעה </w:t>
      </w:r>
      <w:proofErr w:type="spellStart"/>
      <w:r w:rsidRPr="00AC4C6D">
        <w:rPr>
          <w:rFonts w:ascii="Calibri" w:eastAsia="Calibri" w:hAnsi="Calibri" w:cs="Arial"/>
          <w:kern w:val="0"/>
          <w:sz w:val="22"/>
          <w:szCs w:val="22"/>
          <w:rtl/>
          <w:lang w:val="en-US"/>
          <w14:ligatures w14:val="none"/>
        </w:rPr>
        <w:t>מיידי</w:t>
      </w:r>
      <w:proofErr w:type="spellEnd"/>
      <w:r w:rsidRPr="00AC4C6D">
        <w:rPr>
          <w:rFonts w:ascii="Calibri" w:eastAsia="Calibri" w:hAnsi="Calibri" w:cs="Arial"/>
          <w:kern w:val="0"/>
          <w:sz w:val="22"/>
          <w:szCs w:val="22"/>
          <w:rtl/>
          <w:lang w:val="en-US"/>
          <w14:ligatures w14:val="none"/>
        </w:rPr>
        <w:t>, שנתקבלה, אשר עצר לחלוטין את תחילת העבודות</w:t>
      </w:r>
      <w:r w:rsidRPr="00AC4C6D">
        <w:rPr>
          <w:rFonts w:ascii="Calibri" w:eastAsia="Calibri" w:hAnsi="Calibri" w:cs="Arial"/>
          <w:kern w:val="0"/>
          <w:sz w:val="22"/>
          <w:szCs w:val="22"/>
          <w:lang w:val="en-US"/>
          <w14:ligatures w14:val="none"/>
        </w:rPr>
        <w:t>.</w:t>
      </w:r>
    </w:p>
    <w:p w14:paraId="62FB6338" w14:textId="77777777" w:rsidR="00AC4C6D" w:rsidRPr="00AC4C6D" w:rsidRDefault="00AC4C6D" w:rsidP="00AC4C6D">
      <w:pPr>
        <w:numPr>
          <w:ilvl w:val="0"/>
          <w:numId w:val="1"/>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הצגנו לבית המשפט את הוראות חוק המקרקעין וההלכות הקובעות כי שינויים מהותיים ברכוש המשותף מחייבים הסכמה מלאה של כל בעלי הדירות, ללא יוצא מן הכלל</w:t>
      </w:r>
      <w:r w:rsidRPr="00AC4C6D">
        <w:rPr>
          <w:rFonts w:ascii="Calibri" w:eastAsia="Calibri" w:hAnsi="Calibri" w:cs="Arial"/>
          <w:kern w:val="0"/>
          <w:sz w:val="22"/>
          <w:szCs w:val="22"/>
          <w:lang w:val="en-US"/>
          <w14:ligatures w14:val="none"/>
        </w:rPr>
        <w:t>.</w:t>
      </w:r>
    </w:p>
    <w:p w14:paraId="611A3D46" w14:textId="77777777" w:rsidR="00AC4C6D" w:rsidRPr="00AC4C6D" w:rsidRDefault="00AC4C6D" w:rsidP="00AC4C6D">
      <w:pPr>
        <w:numPr>
          <w:ilvl w:val="0"/>
          <w:numId w:val="1"/>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הדגשנו כי קיימת חלופה הנדסית מאושרת על ידי העירייה, שאינה פוגעת בזכויות לקוחותינו – חלופה שהנתבעים דחו ללא נימוק ענייני</w:t>
      </w:r>
      <w:r w:rsidRPr="00AC4C6D">
        <w:rPr>
          <w:rFonts w:ascii="Calibri" w:eastAsia="Calibri" w:hAnsi="Calibri" w:cs="Arial"/>
          <w:kern w:val="0"/>
          <w:sz w:val="22"/>
          <w:szCs w:val="22"/>
          <w:lang w:val="en-US"/>
          <w14:ligatures w14:val="none"/>
        </w:rPr>
        <w:t>.</w:t>
      </w:r>
    </w:p>
    <w:p w14:paraId="46AD8FC7" w14:textId="77777777" w:rsidR="00AC4C6D" w:rsidRPr="00AC4C6D" w:rsidRDefault="00AC4C6D" w:rsidP="00AC4C6D">
      <w:pPr>
        <w:numPr>
          <w:ilvl w:val="0"/>
          <w:numId w:val="1"/>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הצגנו חוות דעת תכנונית שהראתה את היקף ההשתלטות על השטח המשותף והפגיעה הפיזית והחזותית במבנה</w:t>
      </w:r>
      <w:r w:rsidRPr="00AC4C6D">
        <w:rPr>
          <w:rFonts w:ascii="Calibri" w:eastAsia="Calibri" w:hAnsi="Calibri" w:cs="Arial"/>
          <w:kern w:val="0"/>
          <w:sz w:val="22"/>
          <w:szCs w:val="22"/>
          <w:lang w:val="en-US"/>
          <w14:ligatures w14:val="none"/>
        </w:rPr>
        <w:t>.</w:t>
      </w:r>
    </w:p>
    <w:p w14:paraId="0B71ADF9" w14:textId="77777777" w:rsidR="00AC4C6D" w:rsidRPr="00AC4C6D" w:rsidRDefault="00AC4C6D" w:rsidP="00AC4C6D">
      <w:p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b/>
          <w:bCs/>
          <w:kern w:val="0"/>
          <w:sz w:val="22"/>
          <w:szCs w:val="22"/>
          <w:rtl/>
          <w:lang w:val="en-US"/>
          <w14:ligatures w14:val="none"/>
        </w:rPr>
        <w:t>פסק הדין</w:t>
      </w:r>
      <w:r w:rsidRPr="00AC4C6D">
        <w:rPr>
          <w:rFonts w:ascii="Calibri" w:eastAsia="Calibri" w:hAnsi="Calibri" w:cs="Arial"/>
          <w:b/>
          <w:bCs/>
          <w:kern w:val="0"/>
          <w:sz w:val="22"/>
          <w:szCs w:val="22"/>
          <w:lang w:val="en-US"/>
          <w14:ligatures w14:val="none"/>
        </w:rPr>
        <w:t>:</w:t>
      </w:r>
      <w:r w:rsidRPr="00AC4C6D">
        <w:rPr>
          <w:rFonts w:ascii="Calibri" w:eastAsia="Calibri" w:hAnsi="Calibri" w:cs="Arial"/>
          <w:kern w:val="0"/>
          <w:sz w:val="22"/>
          <w:szCs w:val="22"/>
          <w:lang w:val="en-US"/>
          <w14:ligatures w14:val="none"/>
        </w:rPr>
        <w:br/>
      </w:r>
      <w:r w:rsidRPr="00AC4C6D">
        <w:rPr>
          <w:rFonts w:ascii="Calibri" w:eastAsia="Calibri" w:hAnsi="Calibri" w:cs="Arial"/>
          <w:kern w:val="0"/>
          <w:sz w:val="22"/>
          <w:szCs w:val="22"/>
          <w:rtl/>
          <w:lang w:val="en-US"/>
          <w14:ligatures w14:val="none"/>
        </w:rPr>
        <w:t>בית המשפט קיבל את עמדת משרדנו וקבע</w:t>
      </w:r>
      <w:r w:rsidRPr="00AC4C6D">
        <w:rPr>
          <w:rFonts w:ascii="Calibri" w:eastAsia="Calibri" w:hAnsi="Calibri" w:cs="Arial"/>
          <w:kern w:val="0"/>
          <w:sz w:val="22"/>
          <w:szCs w:val="22"/>
          <w:lang w:val="en-US"/>
          <w14:ligatures w14:val="none"/>
        </w:rPr>
        <w:t>:</w:t>
      </w:r>
    </w:p>
    <w:p w14:paraId="232BD36B" w14:textId="77777777" w:rsidR="00AC4C6D" w:rsidRPr="00AC4C6D" w:rsidRDefault="00AC4C6D" w:rsidP="00AC4C6D">
      <w:pPr>
        <w:numPr>
          <w:ilvl w:val="0"/>
          <w:numId w:val="2"/>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צו מניעה קבוע האוסר על הנתבעים לבצע את העבודות במתכונת שתוכננה</w:t>
      </w:r>
      <w:r w:rsidRPr="00AC4C6D">
        <w:rPr>
          <w:rFonts w:ascii="Calibri" w:eastAsia="Calibri" w:hAnsi="Calibri" w:cs="Arial"/>
          <w:kern w:val="0"/>
          <w:sz w:val="22"/>
          <w:szCs w:val="22"/>
          <w:lang w:val="en-US"/>
          <w14:ligatures w14:val="none"/>
        </w:rPr>
        <w:t>.</w:t>
      </w:r>
    </w:p>
    <w:p w14:paraId="635A7EEB" w14:textId="77777777" w:rsidR="00AC4C6D" w:rsidRPr="00AC4C6D" w:rsidRDefault="00AC4C6D" w:rsidP="00AC4C6D">
      <w:pPr>
        <w:numPr>
          <w:ilvl w:val="0"/>
          <w:numId w:val="2"/>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קביעה מפורשת כי לא ניתן לבצע שינויים מהותיים ברכוש המשותף ללא הסכמת כלל בעלי הדירות, גם אם חלקם אינם נפגעים ישירות</w:t>
      </w:r>
      <w:r w:rsidRPr="00AC4C6D">
        <w:rPr>
          <w:rFonts w:ascii="Calibri" w:eastAsia="Calibri" w:hAnsi="Calibri" w:cs="Arial"/>
          <w:kern w:val="0"/>
          <w:sz w:val="22"/>
          <w:szCs w:val="22"/>
          <w:lang w:val="en-US"/>
          <w14:ligatures w14:val="none"/>
        </w:rPr>
        <w:t>.</w:t>
      </w:r>
    </w:p>
    <w:p w14:paraId="21C3EF6A" w14:textId="77777777" w:rsidR="00AC4C6D" w:rsidRPr="00AC4C6D" w:rsidRDefault="00AC4C6D" w:rsidP="00AC4C6D">
      <w:pPr>
        <w:numPr>
          <w:ilvl w:val="0"/>
          <w:numId w:val="2"/>
        </w:num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kern w:val="0"/>
          <w:sz w:val="22"/>
          <w:szCs w:val="22"/>
          <w:rtl/>
          <w:lang w:val="en-US"/>
          <w14:ligatures w14:val="none"/>
        </w:rPr>
        <w:t>חיוב הנתבעים בהוצאות משפט ובשכר טרחת עו"ד ללקוחותינו</w:t>
      </w:r>
      <w:r w:rsidRPr="00AC4C6D">
        <w:rPr>
          <w:rFonts w:ascii="Calibri" w:eastAsia="Calibri" w:hAnsi="Calibri" w:cs="Arial"/>
          <w:kern w:val="0"/>
          <w:sz w:val="22"/>
          <w:szCs w:val="22"/>
          <w:lang w:val="en-US"/>
          <w14:ligatures w14:val="none"/>
        </w:rPr>
        <w:t>.</w:t>
      </w:r>
    </w:p>
    <w:p w14:paraId="74C47A84" w14:textId="77777777" w:rsidR="00AC4C6D" w:rsidRPr="00AC4C6D" w:rsidRDefault="00AC4C6D" w:rsidP="00AC4C6D">
      <w:pPr>
        <w:bidi/>
        <w:spacing w:line="259" w:lineRule="auto"/>
        <w:rPr>
          <w:rFonts w:ascii="Calibri" w:eastAsia="Calibri" w:hAnsi="Calibri" w:cs="Arial"/>
          <w:kern w:val="0"/>
          <w:sz w:val="22"/>
          <w:szCs w:val="22"/>
          <w:lang w:val="en-US"/>
          <w14:ligatures w14:val="none"/>
        </w:rPr>
      </w:pPr>
      <w:r w:rsidRPr="00AC4C6D">
        <w:rPr>
          <w:rFonts w:ascii="Calibri" w:eastAsia="Calibri" w:hAnsi="Calibri" w:cs="Arial"/>
          <w:b/>
          <w:bCs/>
          <w:kern w:val="0"/>
          <w:sz w:val="22"/>
          <w:szCs w:val="22"/>
          <w:rtl/>
          <w:lang w:val="en-US"/>
          <w14:ligatures w14:val="none"/>
        </w:rPr>
        <w:t>התוצאה</w:t>
      </w:r>
      <w:r w:rsidRPr="00AC4C6D">
        <w:rPr>
          <w:rFonts w:ascii="Calibri" w:eastAsia="Calibri" w:hAnsi="Calibri" w:cs="Arial"/>
          <w:b/>
          <w:bCs/>
          <w:kern w:val="0"/>
          <w:sz w:val="22"/>
          <w:szCs w:val="22"/>
          <w:lang w:val="en-US"/>
          <w14:ligatures w14:val="none"/>
        </w:rPr>
        <w:t>:</w:t>
      </w:r>
      <w:r w:rsidRPr="00AC4C6D">
        <w:rPr>
          <w:rFonts w:ascii="Calibri" w:eastAsia="Calibri" w:hAnsi="Calibri" w:cs="Arial"/>
          <w:kern w:val="0"/>
          <w:sz w:val="22"/>
          <w:szCs w:val="22"/>
          <w:lang w:val="en-US"/>
          <w14:ligatures w14:val="none"/>
        </w:rPr>
        <w:br/>
      </w:r>
      <w:r w:rsidRPr="00AC4C6D">
        <w:rPr>
          <w:rFonts w:ascii="Calibri" w:eastAsia="Calibri" w:hAnsi="Calibri" w:cs="Arial"/>
          <w:kern w:val="0"/>
          <w:sz w:val="22"/>
          <w:szCs w:val="22"/>
          <w:rtl/>
          <w:lang w:val="en-US"/>
          <w14:ligatures w14:val="none"/>
        </w:rPr>
        <w:t>העבודות נעצרו לחלוטין, זכויות לקוחותינו נשמרו, והרכוש המשותף נשאר בבעלות ושימוש שווה של כל הדיירים</w:t>
      </w:r>
      <w:r w:rsidRPr="00AC4C6D">
        <w:rPr>
          <w:rFonts w:ascii="Calibri" w:eastAsia="Calibri" w:hAnsi="Calibri" w:cs="Arial"/>
          <w:kern w:val="0"/>
          <w:sz w:val="22"/>
          <w:szCs w:val="22"/>
          <w:lang w:val="en-US"/>
          <w14:ligatures w14:val="none"/>
        </w:rPr>
        <w:t>.</w:t>
      </w:r>
      <w:r w:rsidRPr="00AC4C6D">
        <w:rPr>
          <w:rFonts w:ascii="Calibri" w:eastAsia="Calibri" w:hAnsi="Calibri" w:cs="Arial"/>
          <w:kern w:val="0"/>
          <w:sz w:val="22"/>
          <w:szCs w:val="22"/>
          <w:lang w:val="en-US"/>
          <w14:ligatures w14:val="none"/>
        </w:rPr>
        <w:br/>
      </w:r>
      <w:r w:rsidRPr="00AC4C6D">
        <w:rPr>
          <w:rFonts w:ascii="Calibri" w:eastAsia="Calibri" w:hAnsi="Calibri" w:cs="Arial"/>
          <w:kern w:val="0"/>
          <w:sz w:val="22"/>
          <w:szCs w:val="22"/>
          <w:rtl/>
          <w:lang w:val="en-US"/>
          <w14:ligatures w14:val="none"/>
        </w:rPr>
        <w:t>הודות לניהול אסטרטגי, הצגת חלופה קיימת והעמדה איתנה על עקרונות הדין, משרדנו מנע פגיעה בלתי הפיכה במבנה ובערך דירות לקוחותינו</w:t>
      </w:r>
      <w:r w:rsidRPr="00AC4C6D">
        <w:rPr>
          <w:rFonts w:ascii="Calibri" w:eastAsia="Calibri" w:hAnsi="Calibri" w:cs="Arial"/>
          <w:kern w:val="0"/>
          <w:sz w:val="22"/>
          <w:szCs w:val="22"/>
          <w:lang w:val="en-US"/>
          <w14:ligatures w14:val="none"/>
        </w:rPr>
        <w:t>.</w:t>
      </w:r>
    </w:p>
    <w:p w14:paraId="3E8D470E" w14:textId="43C63EFD" w:rsidR="00AC4C6D" w:rsidRPr="00AC4C6D" w:rsidRDefault="00AC4C6D" w:rsidP="00AC4C6D">
      <w:pPr>
        <w:bidi/>
        <w:spacing w:line="259" w:lineRule="auto"/>
        <w:rPr>
          <w:lang w:val="en-US"/>
        </w:rPr>
      </w:pPr>
    </w:p>
    <w:sectPr w:rsidR="00AC4C6D" w:rsidRPr="00AC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467C"/>
    <w:multiLevelType w:val="multilevel"/>
    <w:tmpl w:val="957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C7B00"/>
    <w:multiLevelType w:val="multilevel"/>
    <w:tmpl w:val="284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B3B9D"/>
    <w:multiLevelType w:val="multilevel"/>
    <w:tmpl w:val="85C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995034">
    <w:abstractNumId w:val="1"/>
  </w:num>
  <w:num w:numId="2" w16cid:durableId="1321302991">
    <w:abstractNumId w:val="2"/>
  </w:num>
  <w:num w:numId="3" w16cid:durableId="98404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6D"/>
    <w:rsid w:val="00AC4C6D"/>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C689"/>
  <w15:chartTrackingRefBased/>
  <w15:docId w15:val="{5910B298-014D-4C49-BEE7-BC923C4E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C6D"/>
    <w:rPr>
      <w:rFonts w:eastAsiaTheme="majorEastAsia" w:cstheme="majorBidi"/>
      <w:color w:val="272727" w:themeColor="text1" w:themeTint="D8"/>
    </w:rPr>
  </w:style>
  <w:style w:type="paragraph" w:styleId="Title">
    <w:name w:val="Title"/>
    <w:basedOn w:val="Normal"/>
    <w:next w:val="Normal"/>
    <w:link w:val="TitleChar"/>
    <w:uiPriority w:val="10"/>
    <w:qFormat/>
    <w:rsid w:val="00AC4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C6D"/>
    <w:pPr>
      <w:spacing w:before="160"/>
      <w:jc w:val="center"/>
    </w:pPr>
    <w:rPr>
      <w:i/>
      <w:iCs/>
      <w:color w:val="404040" w:themeColor="text1" w:themeTint="BF"/>
    </w:rPr>
  </w:style>
  <w:style w:type="character" w:customStyle="1" w:styleId="QuoteChar">
    <w:name w:val="Quote Char"/>
    <w:basedOn w:val="DefaultParagraphFont"/>
    <w:link w:val="Quote"/>
    <w:uiPriority w:val="29"/>
    <w:rsid w:val="00AC4C6D"/>
    <w:rPr>
      <w:i/>
      <w:iCs/>
      <w:color w:val="404040" w:themeColor="text1" w:themeTint="BF"/>
    </w:rPr>
  </w:style>
  <w:style w:type="paragraph" w:styleId="ListParagraph">
    <w:name w:val="List Paragraph"/>
    <w:basedOn w:val="Normal"/>
    <w:uiPriority w:val="34"/>
    <w:qFormat/>
    <w:rsid w:val="00AC4C6D"/>
    <w:pPr>
      <w:ind w:left="720"/>
      <w:contextualSpacing/>
    </w:pPr>
  </w:style>
  <w:style w:type="character" w:styleId="IntenseEmphasis">
    <w:name w:val="Intense Emphasis"/>
    <w:basedOn w:val="DefaultParagraphFont"/>
    <w:uiPriority w:val="21"/>
    <w:qFormat/>
    <w:rsid w:val="00AC4C6D"/>
    <w:rPr>
      <w:i/>
      <w:iCs/>
      <w:color w:val="0F4761" w:themeColor="accent1" w:themeShade="BF"/>
    </w:rPr>
  </w:style>
  <w:style w:type="paragraph" w:styleId="IntenseQuote">
    <w:name w:val="Intense Quote"/>
    <w:basedOn w:val="Normal"/>
    <w:next w:val="Normal"/>
    <w:link w:val="IntenseQuoteChar"/>
    <w:uiPriority w:val="30"/>
    <w:qFormat/>
    <w:rsid w:val="00AC4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C6D"/>
    <w:rPr>
      <w:i/>
      <w:iCs/>
      <w:color w:val="0F4761" w:themeColor="accent1" w:themeShade="BF"/>
    </w:rPr>
  </w:style>
  <w:style w:type="character" w:styleId="IntenseReference">
    <w:name w:val="Intense Reference"/>
    <w:basedOn w:val="DefaultParagraphFont"/>
    <w:uiPriority w:val="32"/>
    <w:qFormat/>
    <w:rsid w:val="00AC4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2025-09-03T08:06:00Z</dcterms:created>
  <dcterms:modified xsi:type="dcterms:W3CDTF">2025-09-03T08:07:00Z</dcterms:modified>
</cp:coreProperties>
</file>