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EFF01C" w14:textId="77777777" w:rsidR="00C31A77" w:rsidRPr="00C31A77" w:rsidRDefault="00C31A77" w:rsidP="00C31A77">
      <w:pPr>
        <w:bidi/>
        <w:spacing w:line="259" w:lineRule="auto"/>
        <w:rPr>
          <w:rFonts w:ascii="Calibri" w:eastAsia="Calibri" w:hAnsi="Calibri" w:cs="Arial"/>
          <w:b/>
          <w:bCs/>
          <w:kern w:val="0"/>
          <w:sz w:val="22"/>
          <w:szCs w:val="22"/>
          <w:lang w:val="en-US"/>
          <w14:ligatures w14:val="none"/>
        </w:rPr>
      </w:pPr>
      <w:r w:rsidRPr="00C31A77">
        <w:rPr>
          <w:rFonts w:ascii="Calibri" w:eastAsia="Calibri" w:hAnsi="Calibri" w:cs="Arial"/>
          <w:b/>
          <w:bCs/>
          <w:kern w:val="0"/>
          <w:sz w:val="22"/>
          <w:szCs w:val="22"/>
          <w:rtl/>
          <w:lang w:val="en-US"/>
          <w14:ligatures w14:val="none"/>
        </w:rPr>
        <w:t>נושא</w:t>
      </w:r>
      <w:r w:rsidRPr="00C31A77">
        <w:rPr>
          <w:rFonts w:ascii="Calibri" w:eastAsia="Calibri" w:hAnsi="Calibri" w:cs="Arial"/>
          <w:b/>
          <w:bCs/>
          <w:kern w:val="0"/>
          <w:sz w:val="22"/>
          <w:szCs w:val="22"/>
          <w:lang w:val="en-US"/>
          <w14:ligatures w14:val="none"/>
        </w:rPr>
        <w:t>:</w:t>
      </w:r>
      <w:r w:rsidRPr="00C31A77">
        <w:rPr>
          <w:rFonts w:ascii="Calibri" w:eastAsia="Calibri" w:hAnsi="Calibri" w:cs="Arial" w:hint="cs"/>
          <w:b/>
          <w:bCs/>
          <w:kern w:val="0"/>
          <w:sz w:val="22"/>
          <w:szCs w:val="22"/>
          <w:rtl/>
          <w:lang w:val="en-US"/>
          <w14:ligatures w14:val="none"/>
        </w:rPr>
        <w:t xml:space="preserve"> </w:t>
      </w:r>
      <w:r w:rsidRPr="00C31A77">
        <w:rPr>
          <w:rFonts w:ascii="Calibri" w:eastAsia="Calibri" w:hAnsi="Calibri" w:cs="Arial"/>
          <w:b/>
          <w:bCs/>
          <w:kern w:val="0"/>
          <w:sz w:val="22"/>
          <w:szCs w:val="22"/>
          <w:rtl/>
          <w:lang w:val="en-US"/>
          <w14:ligatures w14:val="none"/>
        </w:rPr>
        <w:t>תביעה לתיקון ליקויי רטיבות ונזקים בדירה – טענות הדדיות לאחר שיפוץ דירה מעל</w:t>
      </w:r>
      <w:r w:rsidRPr="00C31A77">
        <w:rPr>
          <w:rFonts w:ascii="Calibri" w:eastAsia="Calibri" w:hAnsi="Calibri" w:cs="Arial"/>
          <w:b/>
          <w:bCs/>
          <w:kern w:val="0"/>
          <w:sz w:val="22"/>
          <w:szCs w:val="22"/>
          <w:lang w:val="en-US"/>
          <w14:ligatures w14:val="none"/>
        </w:rPr>
        <w:t>.</w:t>
      </w:r>
    </w:p>
    <w:p w14:paraId="62DB6046" w14:textId="77777777" w:rsidR="00C31A77" w:rsidRPr="00C31A77" w:rsidRDefault="00C31A77" w:rsidP="00C31A77">
      <w:pPr>
        <w:bidi/>
        <w:spacing w:line="259" w:lineRule="auto"/>
        <w:rPr>
          <w:rFonts w:ascii="Calibri" w:eastAsia="Calibri" w:hAnsi="Calibri" w:cs="Arial"/>
          <w:kern w:val="0"/>
          <w:sz w:val="22"/>
          <w:szCs w:val="22"/>
          <w:lang w:val="en-US"/>
          <w14:ligatures w14:val="none"/>
        </w:rPr>
      </w:pPr>
      <w:r w:rsidRPr="00C31A77">
        <w:rPr>
          <w:rFonts w:ascii="Calibri" w:eastAsia="Calibri" w:hAnsi="Calibri" w:cs="Arial"/>
          <w:b/>
          <w:bCs/>
          <w:kern w:val="0"/>
          <w:sz w:val="22"/>
          <w:szCs w:val="22"/>
          <w:rtl/>
          <w:lang w:val="en-US"/>
          <w14:ligatures w14:val="none"/>
        </w:rPr>
        <w:t>סיפור הצלחה</w:t>
      </w:r>
      <w:r w:rsidRPr="00C31A77">
        <w:rPr>
          <w:rFonts w:ascii="Calibri" w:eastAsia="Calibri" w:hAnsi="Calibri" w:cs="Arial"/>
          <w:b/>
          <w:bCs/>
          <w:kern w:val="0"/>
          <w:sz w:val="22"/>
          <w:szCs w:val="22"/>
          <w:lang w:val="en-US"/>
          <w14:ligatures w14:val="none"/>
        </w:rPr>
        <w:t>:</w:t>
      </w:r>
      <w:r w:rsidRPr="00C31A77">
        <w:rPr>
          <w:rFonts w:ascii="Calibri" w:eastAsia="Calibri" w:hAnsi="Calibri" w:cs="Arial"/>
          <w:kern w:val="0"/>
          <w:sz w:val="22"/>
          <w:szCs w:val="22"/>
          <w:lang w:val="en-US"/>
          <w14:ligatures w14:val="none"/>
        </w:rPr>
        <w:br/>
      </w:r>
      <w:r w:rsidRPr="00C31A77">
        <w:rPr>
          <w:rFonts w:ascii="Calibri" w:eastAsia="Calibri" w:hAnsi="Calibri" w:cs="Arial"/>
          <w:kern w:val="0"/>
          <w:sz w:val="22"/>
          <w:szCs w:val="22"/>
          <w:rtl/>
          <w:lang w:val="en-US"/>
          <w14:ligatures w14:val="none"/>
        </w:rPr>
        <w:t>משרדנו ייצג את בעלי הדירה בקומה החמישית ברחוב הסחלב 11 בחיפה, שנתבעו על ידי השכנים בקומה הרביעית בטענה כי שיפוץ שביצעו גרם לנזילות, סדקים ונזקים נוספים בדירתם. התובעים ביקשו להטיל על מרשינו אחריות מלאה לליקויים, למנות מומחה מטעם המפקחת ואף להוציא צווי מניעה ועשה מרחיקי לכת, כולל דרישות שאינן קשורות ישירות לנושא הרטיבות, כגון מניעת "סיפוח שטחים" מהרכוש המשותף</w:t>
      </w:r>
      <w:r w:rsidRPr="00C31A77">
        <w:rPr>
          <w:rFonts w:ascii="Calibri" w:eastAsia="Calibri" w:hAnsi="Calibri" w:cs="Arial"/>
          <w:kern w:val="0"/>
          <w:sz w:val="22"/>
          <w:szCs w:val="22"/>
          <w:lang w:val="en-US"/>
          <w14:ligatures w14:val="none"/>
        </w:rPr>
        <w:t>.</w:t>
      </w:r>
    </w:p>
    <w:p w14:paraId="1509523F" w14:textId="77777777" w:rsidR="00C31A77" w:rsidRPr="00C31A77" w:rsidRDefault="00C31A77" w:rsidP="00C31A77">
      <w:pPr>
        <w:bidi/>
        <w:spacing w:line="259" w:lineRule="auto"/>
        <w:rPr>
          <w:rFonts w:ascii="Calibri" w:eastAsia="Calibri" w:hAnsi="Calibri" w:cs="Arial"/>
          <w:kern w:val="0"/>
          <w:sz w:val="22"/>
          <w:szCs w:val="22"/>
          <w:lang w:val="en-US"/>
          <w14:ligatures w14:val="none"/>
        </w:rPr>
      </w:pPr>
      <w:r w:rsidRPr="00C31A77">
        <w:rPr>
          <w:rFonts w:ascii="Calibri" w:eastAsia="Calibri" w:hAnsi="Calibri" w:cs="Arial"/>
          <w:b/>
          <w:bCs/>
          <w:kern w:val="0"/>
          <w:sz w:val="22"/>
          <w:szCs w:val="22"/>
          <w:rtl/>
          <w:lang w:val="en-US"/>
          <w14:ligatures w14:val="none"/>
        </w:rPr>
        <w:t>האסטרטגיה המשפטית שלנו</w:t>
      </w:r>
      <w:r w:rsidRPr="00C31A77">
        <w:rPr>
          <w:rFonts w:ascii="Calibri" w:eastAsia="Calibri" w:hAnsi="Calibri" w:cs="Arial"/>
          <w:b/>
          <w:bCs/>
          <w:kern w:val="0"/>
          <w:sz w:val="22"/>
          <w:szCs w:val="22"/>
          <w:lang w:val="en-US"/>
          <w14:ligatures w14:val="none"/>
        </w:rPr>
        <w:t>:</w:t>
      </w:r>
    </w:p>
    <w:p w14:paraId="21A4F52F" w14:textId="77777777" w:rsidR="00C31A77" w:rsidRPr="00C31A77" w:rsidRDefault="00C31A77" w:rsidP="00C31A77">
      <w:pPr>
        <w:numPr>
          <w:ilvl w:val="0"/>
          <w:numId w:val="1"/>
        </w:numPr>
        <w:bidi/>
        <w:spacing w:line="259" w:lineRule="auto"/>
        <w:rPr>
          <w:rFonts w:ascii="Calibri" w:eastAsia="Calibri" w:hAnsi="Calibri" w:cs="Arial"/>
          <w:kern w:val="0"/>
          <w:sz w:val="22"/>
          <w:szCs w:val="22"/>
          <w:lang w:val="en-US"/>
          <w14:ligatures w14:val="none"/>
        </w:rPr>
      </w:pPr>
      <w:r w:rsidRPr="00C31A77">
        <w:rPr>
          <w:rFonts w:ascii="Calibri" w:eastAsia="Calibri" w:hAnsi="Calibri" w:cs="Arial"/>
          <w:b/>
          <w:bCs/>
          <w:kern w:val="0"/>
          <w:sz w:val="22"/>
          <w:szCs w:val="22"/>
          <w:rtl/>
          <w:lang w:val="en-US"/>
          <w14:ligatures w14:val="none"/>
        </w:rPr>
        <w:t>הצגת ראיות חותכות לאחריות משותפת</w:t>
      </w:r>
      <w:r w:rsidRPr="00C31A77">
        <w:rPr>
          <w:rFonts w:ascii="Calibri" w:eastAsia="Calibri" w:hAnsi="Calibri" w:cs="Arial"/>
          <w:kern w:val="0"/>
          <w:sz w:val="22"/>
          <w:szCs w:val="22"/>
          <w:rtl/>
          <w:lang w:val="en-US"/>
          <w14:ligatures w14:val="none"/>
        </w:rPr>
        <w:t xml:space="preserve"> </w:t>
      </w:r>
      <w:r w:rsidRPr="00C31A77">
        <w:rPr>
          <w:rFonts w:ascii="Calibri" w:eastAsia="Calibri" w:hAnsi="Calibri" w:cs="Arial"/>
          <w:kern w:val="0"/>
          <w:sz w:val="22"/>
          <w:szCs w:val="22"/>
          <w:lang w:val="en-US"/>
          <w14:ligatures w14:val="none"/>
        </w:rPr>
        <w:t xml:space="preserve">– </w:t>
      </w:r>
      <w:r w:rsidRPr="00C31A77">
        <w:rPr>
          <w:rFonts w:ascii="Calibri" w:eastAsia="Calibri" w:hAnsi="Calibri" w:cs="Arial"/>
          <w:kern w:val="0"/>
          <w:sz w:val="22"/>
          <w:szCs w:val="22"/>
          <w:rtl/>
          <w:lang w:val="en-US"/>
          <w14:ligatures w14:val="none"/>
        </w:rPr>
        <w:t>הדגשנו שהמקור העיקרי לליקויים הוא בשטחים המשותפים של הבניין, כפי שנקבע בהסכם שיתוף משנת 2024, שנחתם על ידי כל בעלי הדירות ואושר ברישום המקרקעין</w:t>
      </w:r>
      <w:r w:rsidRPr="00C31A77">
        <w:rPr>
          <w:rFonts w:ascii="Calibri" w:eastAsia="Calibri" w:hAnsi="Calibri" w:cs="Arial"/>
          <w:kern w:val="0"/>
          <w:sz w:val="22"/>
          <w:szCs w:val="22"/>
          <w:lang w:val="en-US"/>
          <w14:ligatures w14:val="none"/>
        </w:rPr>
        <w:t>.</w:t>
      </w:r>
    </w:p>
    <w:p w14:paraId="505ECBB0" w14:textId="77777777" w:rsidR="00C31A77" w:rsidRPr="00C31A77" w:rsidRDefault="00C31A77" w:rsidP="00C31A77">
      <w:pPr>
        <w:numPr>
          <w:ilvl w:val="0"/>
          <w:numId w:val="1"/>
        </w:numPr>
        <w:bidi/>
        <w:spacing w:line="259" w:lineRule="auto"/>
        <w:rPr>
          <w:rFonts w:ascii="Calibri" w:eastAsia="Calibri" w:hAnsi="Calibri" w:cs="Arial"/>
          <w:kern w:val="0"/>
          <w:sz w:val="22"/>
          <w:szCs w:val="22"/>
          <w:lang w:val="en-US"/>
          <w14:ligatures w14:val="none"/>
        </w:rPr>
      </w:pPr>
      <w:r w:rsidRPr="00C31A77">
        <w:rPr>
          <w:rFonts w:ascii="Calibri" w:eastAsia="Calibri" w:hAnsi="Calibri" w:cs="Arial"/>
          <w:b/>
          <w:bCs/>
          <w:kern w:val="0"/>
          <w:sz w:val="22"/>
          <w:szCs w:val="22"/>
          <w:rtl/>
          <w:lang w:val="en-US"/>
          <w14:ligatures w14:val="none"/>
        </w:rPr>
        <w:t>טענת ניגוד עניינים</w:t>
      </w:r>
      <w:r w:rsidRPr="00C31A77">
        <w:rPr>
          <w:rFonts w:ascii="Calibri" w:eastAsia="Calibri" w:hAnsi="Calibri" w:cs="Arial"/>
          <w:kern w:val="0"/>
          <w:sz w:val="22"/>
          <w:szCs w:val="22"/>
          <w:rtl/>
          <w:lang w:val="en-US"/>
          <w14:ligatures w14:val="none"/>
        </w:rPr>
        <w:t xml:space="preserve"> </w:t>
      </w:r>
      <w:r w:rsidRPr="00C31A77">
        <w:rPr>
          <w:rFonts w:ascii="Calibri" w:eastAsia="Calibri" w:hAnsi="Calibri" w:cs="Arial"/>
          <w:kern w:val="0"/>
          <w:sz w:val="22"/>
          <w:szCs w:val="22"/>
          <w:lang w:val="en-US"/>
          <w14:ligatures w14:val="none"/>
        </w:rPr>
        <w:t xml:space="preserve">– </w:t>
      </w:r>
      <w:r w:rsidRPr="00C31A77">
        <w:rPr>
          <w:rFonts w:ascii="Calibri" w:eastAsia="Calibri" w:hAnsi="Calibri" w:cs="Arial"/>
          <w:kern w:val="0"/>
          <w:sz w:val="22"/>
          <w:szCs w:val="22"/>
          <w:rtl/>
          <w:lang w:val="en-US"/>
          <w14:ligatures w14:val="none"/>
        </w:rPr>
        <w:t>חשפנו כי עורך הדין של התובעים ייצג בעבר את מרשינו באותו נושא של הסכם השיתוף, בניגוד לכללי האתיקה, וביקשנו את פסילתו מהייצוג</w:t>
      </w:r>
      <w:r w:rsidRPr="00C31A77">
        <w:rPr>
          <w:rFonts w:ascii="Calibri" w:eastAsia="Calibri" w:hAnsi="Calibri" w:cs="Arial"/>
          <w:kern w:val="0"/>
          <w:sz w:val="22"/>
          <w:szCs w:val="22"/>
          <w:lang w:val="en-US"/>
          <w14:ligatures w14:val="none"/>
        </w:rPr>
        <w:t>.</w:t>
      </w:r>
    </w:p>
    <w:p w14:paraId="5FB900F1" w14:textId="77777777" w:rsidR="00C31A77" w:rsidRPr="00C31A77" w:rsidRDefault="00C31A77" w:rsidP="00C31A77">
      <w:pPr>
        <w:numPr>
          <w:ilvl w:val="0"/>
          <w:numId w:val="1"/>
        </w:numPr>
        <w:bidi/>
        <w:spacing w:line="259" w:lineRule="auto"/>
        <w:rPr>
          <w:rFonts w:ascii="Calibri" w:eastAsia="Calibri" w:hAnsi="Calibri" w:cs="Arial"/>
          <w:kern w:val="0"/>
          <w:sz w:val="22"/>
          <w:szCs w:val="22"/>
          <w:lang w:val="en-US"/>
          <w14:ligatures w14:val="none"/>
        </w:rPr>
      </w:pPr>
      <w:r w:rsidRPr="00C31A77">
        <w:rPr>
          <w:rFonts w:ascii="Calibri" w:eastAsia="Calibri" w:hAnsi="Calibri" w:cs="Arial"/>
          <w:b/>
          <w:bCs/>
          <w:kern w:val="0"/>
          <w:sz w:val="22"/>
          <w:szCs w:val="22"/>
          <w:rtl/>
          <w:lang w:val="en-US"/>
          <w14:ligatures w14:val="none"/>
        </w:rPr>
        <w:t>חוות דעת מקצועיות נגדיות</w:t>
      </w:r>
      <w:r w:rsidRPr="00C31A77">
        <w:rPr>
          <w:rFonts w:ascii="Calibri" w:eastAsia="Calibri" w:hAnsi="Calibri" w:cs="Arial"/>
          <w:kern w:val="0"/>
          <w:sz w:val="22"/>
          <w:szCs w:val="22"/>
          <w:rtl/>
          <w:lang w:val="en-US"/>
          <w14:ligatures w14:val="none"/>
        </w:rPr>
        <w:t xml:space="preserve"> </w:t>
      </w:r>
      <w:r w:rsidRPr="00C31A77">
        <w:rPr>
          <w:rFonts w:ascii="Calibri" w:eastAsia="Calibri" w:hAnsi="Calibri" w:cs="Arial"/>
          <w:kern w:val="0"/>
          <w:sz w:val="22"/>
          <w:szCs w:val="22"/>
          <w:lang w:val="en-US"/>
          <w14:ligatures w14:val="none"/>
        </w:rPr>
        <w:t xml:space="preserve">– </w:t>
      </w:r>
      <w:r w:rsidRPr="00C31A77">
        <w:rPr>
          <w:rFonts w:ascii="Calibri" w:eastAsia="Calibri" w:hAnsi="Calibri" w:cs="Arial"/>
          <w:kern w:val="0"/>
          <w:sz w:val="22"/>
          <w:szCs w:val="22"/>
          <w:rtl/>
          <w:lang w:val="en-US"/>
          <w14:ligatures w14:val="none"/>
        </w:rPr>
        <w:t xml:space="preserve">הגשנו חוות דעת של מומחה </w:t>
      </w:r>
      <w:proofErr w:type="spellStart"/>
      <w:r w:rsidRPr="00C31A77">
        <w:rPr>
          <w:rFonts w:ascii="Calibri" w:eastAsia="Calibri" w:hAnsi="Calibri" w:cs="Arial"/>
          <w:kern w:val="0"/>
          <w:sz w:val="22"/>
          <w:szCs w:val="22"/>
          <w:rtl/>
          <w:lang w:val="en-US"/>
          <w14:ligatures w14:val="none"/>
        </w:rPr>
        <w:t>לרטיבויות</w:t>
      </w:r>
      <w:proofErr w:type="spellEnd"/>
      <w:r w:rsidRPr="00C31A77">
        <w:rPr>
          <w:rFonts w:ascii="Calibri" w:eastAsia="Calibri" w:hAnsi="Calibri" w:cs="Arial"/>
          <w:kern w:val="0"/>
          <w:sz w:val="22"/>
          <w:szCs w:val="22"/>
          <w:rtl/>
          <w:lang w:val="en-US"/>
          <w14:ligatures w14:val="none"/>
        </w:rPr>
        <w:t xml:space="preserve"> ושל מהנדס בניין, שקבעו בין היתר כי</w:t>
      </w:r>
      <w:r w:rsidRPr="00C31A77">
        <w:rPr>
          <w:rFonts w:ascii="Calibri" w:eastAsia="Calibri" w:hAnsi="Calibri" w:cs="Arial"/>
          <w:kern w:val="0"/>
          <w:sz w:val="22"/>
          <w:szCs w:val="22"/>
          <w:lang w:val="en-US"/>
          <w14:ligatures w14:val="none"/>
        </w:rPr>
        <w:t>:</w:t>
      </w:r>
    </w:p>
    <w:p w14:paraId="57660DDE" w14:textId="77777777" w:rsidR="00C31A77" w:rsidRPr="00C31A77" w:rsidRDefault="00C31A77" w:rsidP="00C31A77">
      <w:pPr>
        <w:numPr>
          <w:ilvl w:val="1"/>
          <w:numId w:val="1"/>
        </w:numPr>
        <w:bidi/>
        <w:spacing w:line="259" w:lineRule="auto"/>
        <w:rPr>
          <w:rFonts w:ascii="Calibri" w:eastAsia="Calibri" w:hAnsi="Calibri" w:cs="Arial"/>
          <w:kern w:val="0"/>
          <w:sz w:val="22"/>
          <w:szCs w:val="22"/>
          <w:lang w:val="en-US"/>
          <w14:ligatures w14:val="none"/>
        </w:rPr>
      </w:pPr>
      <w:r w:rsidRPr="00C31A77">
        <w:rPr>
          <w:rFonts w:ascii="Calibri" w:eastAsia="Calibri" w:hAnsi="Calibri" w:cs="Arial"/>
          <w:kern w:val="0"/>
          <w:sz w:val="22"/>
          <w:szCs w:val="22"/>
          <w:rtl/>
          <w:lang w:val="en-US"/>
          <w14:ligatures w14:val="none"/>
        </w:rPr>
        <w:t>הסדקים בדירת התובעים קדמו לשיפוץ שביצעו מרשינו והם קוסמטיים בלבד</w:t>
      </w:r>
      <w:r w:rsidRPr="00C31A77">
        <w:rPr>
          <w:rFonts w:ascii="Calibri" w:eastAsia="Calibri" w:hAnsi="Calibri" w:cs="Arial"/>
          <w:kern w:val="0"/>
          <w:sz w:val="22"/>
          <w:szCs w:val="22"/>
          <w:lang w:val="en-US"/>
          <w14:ligatures w14:val="none"/>
        </w:rPr>
        <w:t>.</w:t>
      </w:r>
    </w:p>
    <w:p w14:paraId="012EE235" w14:textId="77777777" w:rsidR="00C31A77" w:rsidRPr="00C31A77" w:rsidRDefault="00C31A77" w:rsidP="00C31A77">
      <w:pPr>
        <w:numPr>
          <w:ilvl w:val="1"/>
          <w:numId w:val="1"/>
        </w:numPr>
        <w:bidi/>
        <w:spacing w:line="259" w:lineRule="auto"/>
        <w:rPr>
          <w:rFonts w:ascii="Calibri" w:eastAsia="Calibri" w:hAnsi="Calibri" w:cs="Arial"/>
          <w:kern w:val="0"/>
          <w:sz w:val="22"/>
          <w:szCs w:val="22"/>
          <w:lang w:val="en-US"/>
          <w14:ligatures w14:val="none"/>
        </w:rPr>
      </w:pPr>
      <w:proofErr w:type="spellStart"/>
      <w:r w:rsidRPr="00C31A77">
        <w:rPr>
          <w:rFonts w:ascii="Calibri" w:eastAsia="Calibri" w:hAnsi="Calibri" w:cs="Arial"/>
          <w:kern w:val="0"/>
          <w:sz w:val="22"/>
          <w:szCs w:val="22"/>
          <w:rtl/>
          <w:lang w:val="en-US"/>
          <w14:ligatures w14:val="none"/>
        </w:rPr>
        <w:t>הרטיבויות</w:t>
      </w:r>
      <w:proofErr w:type="spellEnd"/>
      <w:r w:rsidRPr="00C31A77">
        <w:rPr>
          <w:rFonts w:ascii="Calibri" w:eastAsia="Calibri" w:hAnsi="Calibri" w:cs="Arial"/>
          <w:kern w:val="0"/>
          <w:sz w:val="22"/>
          <w:szCs w:val="22"/>
          <w:rtl/>
          <w:lang w:val="en-US"/>
          <w14:ligatures w14:val="none"/>
        </w:rPr>
        <w:t xml:space="preserve"> נגרמות בין היתר מחוסר איטום בקירות החיצוניים של דירת התובעים עצמם ומכשלים בשטחי הרכוש המשותף (כגון שביל מדרגות)</w:t>
      </w:r>
      <w:r w:rsidRPr="00C31A77">
        <w:rPr>
          <w:rFonts w:ascii="Calibri" w:eastAsia="Calibri" w:hAnsi="Calibri" w:cs="Arial"/>
          <w:kern w:val="0"/>
          <w:sz w:val="22"/>
          <w:szCs w:val="22"/>
          <w:lang w:val="en-US"/>
          <w14:ligatures w14:val="none"/>
        </w:rPr>
        <w:t>.</w:t>
      </w:r>
    </w:p>
    <w:p w14:paraId="7EA8B596" w14:textId="77777777" w:rsidR="00C31A77" w:rsidRPr="00C31A77" w:rsidRDefault="00C31A77" w:rsidP="00C31A77">
      <w:pPr>
        <w:numPr>
          <w:ilvl w:val="1"/>
          <w:numId w:val="1"/>
        </w:numPr>
        <w:bidi/>
        <w:spacing w:line="259" w:lineRule="auto"/>
        <w:rPr>
          <w:rFonts w:ascii="Calibri" w:eastAsia="Calibri" w:hAnsi="Calibri" w:cs="Arial"/>
          <w:kern w:val="0"/>
          <w:sz w:val="22"/>
          <w:szCs w:val="22"/>
          <w:lang w:val="en-US"/>
          <w14:ligatures w14:val="none"/>
        </w:rPr>
      </w:pPr>
      <w:r w:rsidRPr="00C31A77">
        <w:rPr>
          <w:rFonts w:ascii="Calibri" w:eastAsia="Calibri" w:hAnsi="Calibri" w:cs="Arial"/>
          <w:kern w:val="0"/>
          <w:sz w:val="22"/>
          <w:szCs w:val="22"/>
          <w:rtl/>
          <w:lang w:val="en-US"/>
          <w14:ligatures w14:val="none"/>
        </w:rPr>
        <w:t>מרשינו ביצעו איטום תקין במרפסות והעבירו בדיקות הצפה</w:t>
      </w:r>
      <w:r w:rsidRPr="00C31A77">
        <w:rPr>
          <w:rFonts w:ascii="Calibri" w:eastAsia="Calibri" w:hAnsi="Calibri" w:cs="Arial"/>
          <w:kern w:val="0"/>
          <w:sz w:val="22"/>
          <w:szCs w:val="22"/>
          <w:lang w:val="en-US"/>
          <w14:ligatures w14:val="none"/>
        </w:rPr>
        <w:t>.</w:t>
      </w:r>
    </w:p>
    <w:p w14:paraId="294B2D63" w14:textId="77777777" w:rsidR="00C31A77" w:rsidRPr="00C31A77" w:rsidRDefault="00C31A77" w:rsidP="00C31A77">
      <w:pPr>
        <w:numPr>
          <w:ilvl w:val="0"/>
          <w:numId w:val="1"/>
        </w:numPr>
        <w:bidi/>
        <w:spacing w:line="259" w:lineRule="auto"/>
        <w:rPr>
          <w:rFonts w:ascii="Calibri" w:eastAsia="Calibri" w:hAnsi="Calibri" w:cs="Arial"/>
          <w:kern w:val="0"/>
          <w:sz w:val="22"/>
          <w:szCs w:val="22"/>
          <w:lang w:val="en-US"/>
          <w14:ligatures w14:val="none"/>
        </w:rPr>
      </w:pPr>
      <w:r w:rsidRPr="00C31A77">
        <w:rPr>
          <w:rFonts w:ascii="Calibri" w:eastAsia="Calibri" w:hAnsi="Calibri" w:cs="Arial"/>
          <w:b/>
          <w:bCs/>
          <w:kern w:val="0"/>
          <w:sz w:val="22"/>
          <w:szCs w:val="22"/>
          <w:rtl/>
          <w:lang w:val="en-US"/>
          <w14:ligatures w14:val="none"/>
        </w:rPr>
        <w:t>הפרכת טענות על נזקים נוספים</w:t>
      </w:r>
      <w:r w:rsidRPr="00C31A77">
        <w:rPr>
          <w:rFonts w:ascii="Calibri" w:eastAsia="Calibri" w:hAnsi="Calibri" w:cs="Arial"/>
          <w:kern w:val="0"/>
          <w:sz w:val="22"/>
          <w:szCs w:val="22"/>
          <w:rtl/>
          <w:lang w:val="en-US"/>
          <w14:ligatures w14:val="none"/>
        </w:rPr>
        <w:t xml:space="preserve"> </w:t>
      </w:r>
      <w:r w:rsidRPr="00C31A77">
        <w:rPr>
          <w:rFonts w:ascii="Calibri" w:eastAsia="Calibri" w:hAnsi="Calibri" w:cs="Arial"/>
          <w:kern w:val="0"/>
          <w:sz w:val="22"/>
          <w:szCs w:val="22"/>
          <w:lang w:val="en-US"/>
          <w14:ligatures w14:val="none"/>
        </w:rPr>
        <w:t xml:space="preserve">– </w:t>
      </w:r>
      <w:r w:rsidRPr="00C31A77">
        <w:rPr>
          <w:rFonts w:ascii="Calibri" w:eastAsia="Calibri" w:hAnsi="Calibri" w:cs="Arial"/>
          <w:kern w:val="0"/>
          <w:sz w:val="22"/>
          <w:szCs w:val="22"/>
          <w:rtl/>
          <w:lang w:val="en-US"/>
          <w14:ligatures w14:val="none"/>
        </w:rPr>
        <w:t>הראינו שאין כל בסיס ראייתי לטענות על נזק למעלית, לפרגולה או לפגיעה בפרטיות עקב מצלמות</w:t>
      </w:r>
      <w:r w:rsidRPr="00C31A77">
        <w:rPr>
          <w:rFonts w:ascii="Calibri" w:eastAsia="Calibri" w:hAnsi="Calibri" w:cs="Arial"/>
          <w:kern w:val="0"/>
          <w:sz w:val="22"/>
          <w:szCs w:val="22"/>
          <w:lang w:val="en-US"/>
          <w14:ligatures w14:val="none"/>
        </w:rPr>
        <w:t>.</w:t>
      </w:r>
    </w:p>
    <w:p w14:paraId="4418F194" w14:textId="77777777" w:rsidR="00C31A77" w:rsidRPr="00C31A77" w:rsidRDefault="00C31A77" w:rsidP="00C31A77">
      <w:pPr>
        <w:numPr>
          <w:ilvl w:val="0"/>
          <w:numId w:val="1"/>
        </w:numPr>
        <w:bidi/>
        <w:spacing w:line="259" w:lineRule="auto"/>
        <w:rPr>
          <w:rFonts w:ascii="Calibri" w:eastAsia="Calibri" w:hAnsi="Calibri" w:cs="Arial"/>
          <w:kern w:val="0"/>
          <w:sz w:val="22"/>
          <w:szCs w:val="22"/>
          <w:lang w:val="en-US"/>
          <w14:ligatures w14:val="none"/>
        </w:rPr>
      </w:pPr>
      <w:r w:rsidRPr="00C31A77">
        <w:rPr>
          <w:rFonts w:ascii="Calibri" w:eastAsia="Calibri" w:hAnsi="Calibri" w:cs="Arial"/>
          <w:b/>
          <w:bCs/>
          <w:kern w:val="0"/>
          <w:sz w:val="22"/>
          <w:szCs w:val="22"/>
          <w:rtl/>
          <w:lang w:val="en-US"/>
          <w14:ligatures w14:val="none"/>
        </w:rPr>
        <w:t>הוכחת שיתוף פעולה ותום לב</w:t>
      </w:r>
      <w:r w:rsidRPr="00C31A77">
        <w:rPr>
          <w:rFonts w:ascii="Calibri" w:eastAsia="Calibri" w:hAnsi="Calibri" w:cs="Arial"/>
          <w:kern w:val="0"/>
          <w:sz w:val="22"/>
          <w:szCs w:val="22"/>
          <w:rtl/>
          <w:lang w:val="en-US"/>
          <w14:ligatures w14:val="none"/>
        </w:rPr>
        <w:t xml:space="preserve"> </w:t>
      </w:r>
      <w:r w:rsidRPr="00C31A77">
        <w:rPr>
          <w:rFonts w:ascii="Calibri" w:eastAsia="Calibri" w:hAnsi="Calibri" w:cs="Arial"/>
          <w:kern w:val="0"/>
          <w:sz w:val="22"/>
          <w:szCs w:val="22"/>
          <w:lang w:val="en-US"/>
          <w14:ligatures w14:val="none"/>
        </w:rPr>
        <w:t xml:space="preserve">– </w:t>
      </w:r>
      <w:r w:rsidRPr="00C31A77">
        <w:rPr>
          <w:rFonts w:ascii="Calibri" w:eastAsia="Calibri" w:hAnsi="Calibri" w:cs="Arial"/>
          <w:kern w:val="0"/>
          <w:sz w:val="22"/>
          <w:szCs w:val="22"/>
          <w:rtl/>
          <w:lang w:val="en-US"/>
          <w14:ligatures w14:val="none"/>
        </w:rPr>
        <w:t>הצגנו תיעוד לכך שמרשינו הסכימו לשאת ב-⅔ מעלויות תיקונים והיו נכונים להגיע להסכמות, בניגוד לניסיון הצגת התובעים כצד שיתופי</w:t>
      </w:r>
      <w:r w:rsidRPr="00C31A77">
        <w:rPr>
          <w:rFonts w:ascii="Calibri" w:eastAsia="Calibri" w:hAnsi="Calibri" w:cs="Arial"/>
          <w:kern w:val="0"/>
          <w:sz w:val="22"/>
          <w:szCs w:val="22"/>
          <w:lang w:val="en-US"/>
          <w14:ligatures w14:val="none"/>
        </w:rPr>
        <w:t>.</w:t>
      </w:r>
    </w:p>
    <w:p w14:paraId="0BF8809A" w14:textId="77777777" w:rsidR="00C31A77" w:rsidRPr="00C31A77" w:rsidRDefault="00C31A77" w:rsidP="00C31A77">
      <w:pPr>
        <w:bidi/>
        <w:spacing w:line="259" w:lineRule="auto"/>
        <w:rPr>
          <w:rFonts w:ascii="Calibri" w:eastAsia="Calibri" w:hAnsi="Calibri" w:cs="Arial"/>
          <w:kern w:val="0"/>
          <w:sz w:val="22"/>
          <w:szCs w:val="22"/>
          <w:lang w:val="en-US"/>
          <w14:ligatures w14:val="none"/>
        </w:rPr>
      </w:pPr>
      <w:r w:rsidRPr="00C31A77">
        <w:rPr>
          <w:rFonts w:ascii="Calibri" w:eastAsia="Calibri" w:hAnsi="Calibri" w:cs="Arial"/>
          <w:b/>
          <w:bCs/>
          <w:kern w:val="0"/>
          <w:sz w:val="22"/>
          <w:szCs w:val="22"/>
          <w:rtl/>
          <w:lang w:val="en-US"/>
          <w14:ligatures w14:val="none"/>
        </w:rPr>
        <w:t>התוצאה</w:t>
      </w:r>
      <w:r w:rsidRPr="00C31A77">
        <w:rPr>
          <w:rFonts w:ascii="Calibri" w:eastAsia="Calibri" w:hAnsi="Calibri" w:cs="Arial"/>
          <w:b/>
          <w:bCs/>
          <w:kern w:val="0"/>
          <w:sz w:val="22"/>
          <w:szCs w:val="22"/>
          <w:lang w:val="en-US"/>
          <w14:ligatures w14:val="none"/>
        </w:rPr>
        <w:t>:</w:t>
      </w:r>
      <w:r w:rsidRPr="00C31A77">
        <w:rPr>
          <w:rFonts w:ascii="Calibri" w:eastAsia="Calibri" w:hAnsi="Calibri" w:cs="Arial"/>
          <w:kern w:val="0"/>
          <w:sz w:val="22"/>
          <w:szCs w:val="22"/>
          <w:lang w:val="en-US"/>
          <w14:ligatures w14:val="none"/>
        </w:rPr>
        <w:br/>
      </w:r>
      <w:r w:rsidRPr="00C31A77">
        <w:rPr>
          <w:rFonts w:ascii="Calibri" w:eastAsia="Calibri" w:hAnsi="Calibri" w:cs="Arial"/>
          <w:kern w:val="0"/>
          <w:sz w:val="22"/>
          <w:szCs w:val="22"/>
          <w:rtl/>
          <w:lang w:val="en-US"/>
          <w14:ligatures w14:val="none"/>
        </w:rPr>
        <w:t xml:space="preserve">הצלחנו לבסס קו הגנה ברור: האחריות לליקויים – ככל שישנם – היא משותפת לכלל בעלי הדירות, ולא בלעדית למרשינו. בנוסף, ביססנו טענות דיוניות חזקות (ניגוד עניינים, חוסר סמכות </w:t>
      </w:r>
      <w:proofErr w:type="spellStart"/>
      <w:r w:rsidRPr="00C31A77">
        <w:rPr>
          <w:rFonts w:ascii="Calibri" w:eastAsia="Calibri" w:hAnsi="Calibri" w:cs="Arial"/>
          <w:kern w:val="0"/>
          <w:sz w:val="22"/>
          <w:szCs w:val="22"/>
          <w:rtl/>
          <w:lang w:val="en-US"/>
          <w14:ligatures w14:val="none"/>
        </w:rPr>
        <w:t>לסעדים</w:t>
      </w:r>
      <w:proofErr w:type="spellEnd"/>
      <w:r w:rsidRPr="00C31A77">
        <w:rPr>
          <w:rFonts w:ascii="Calibri" w:eastAsia="Calibri" w:hAnsi="Calibri" w:cs="Arial"/>
          <w:kern w:val="0"/>
          <w:sz w:val="22"/>
          <w:szCs w:val="22"/>
          <w:rtl/>
          <w:lang w:val="en-US"/>
          <w14:ligatures w14:val="none"/>
        </w:rPr>
        <w:t xml:space="preserve"> מסוימים) וחיזקנו את מעמד מרשינו באמצעות חוות דעת מומחים מקיפות</w:t>
      </w:r>
      <w:r w:rsidRPr="00C31A77">
        <w:rPr>
          <w:rFonts w:ascii="Calibri" w:eastAsia="Calibri" w:hAnsi="Calibri" w:cs="Arial"/>
          <w:kern w:val="0"/>
          <w:sz w:val="22"/>
          <w:szCs w:val="22"/>
          <w:lang w:val="en-US"/>
          <w14:ligatures w14:val="none"/>
        </w:rPr>
        <w:t>.</w:t>
      </w:r>
    </w:p>
    <w:p w14:paraId="790CAC06" w14:textId="77777777" w:rsidR="00C31A77" w:rsidRPr="00C31A77" w:rsidRDefault="00C31A77">
      <w:pPr>
        <w:rPr>
          <w:lang w:val="en-US"/>
        </w:rPr>
      </w:pPr>
    </w:p>
    <w:sectPr w:rsidR="00C31A77" w:rsidRPr="00C31A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ACA680A"/>
    <w:multiLevelType w:val="multilevel"/>
    <w:tmpl w:val="2342FE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05602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A77"/>
    <w:rsid w:val="00C31A77"/>
    <w:rsid w:val="00E2464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34511"/>
  <w15:chartTrackingRefBased/>
  <w15:docId w15:val="{D7A493FB-C928-4CCD-A0E3-4ECBA3571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L"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1A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31A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31A7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1A7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1A7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1A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1A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1A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1A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1A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31A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31A7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1A7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1A7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1A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1A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1A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1A77"/>
    <w:rPr>
      <w:rFonts w:eastAsiaTheme="majorEastAsia" w:cstheme="majorBidi"/>
      <w:color w:val="272727" w:themeColor="text1" w:themeTint="D8"/>
    </w:rPr>
  </w:style>
  <w:style w:type="paragraph" w:styleId="Title">
    <w:name w:val="Title"/>
    <w:basedOn w:val="Normal"/>
    <w:next w:val="Normal"/>
    <w:link w:val="TitleChar"/>
    <w:uiPriority w:val="10"/>
    <w:qFormat/>
    <w:rsid w:val="00C31A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1A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1A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1A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1A77"/>
    <w:pPr>
      <w:spacing w:before="160"/>
      <w:jc w:val="center"/>
    </w:pPr>
    <w:rPr>
      <w:i/>
      <w:iCs/>
      <w:color w:val="404040" w:themeColor="text1" w:themeTint="BF"/>
    </w:rPr>
  </w:style>
  <w:style w:type="character" w:customStyle="1" w:styleId="QuoteChar">
    <w:name w:val="Quote Char"/>
    <w:basedOn w:val="DefaultParagraphFont"/>
    <w:link w:val="Quote"/>
    <w:uiPriority w:val="29"/>
    <w:rsid w:val="00C31A77"/>
    <w:rPr>
      <w:i/>
      <w:iCs/>
      <w:color w:val="404040" w:themeColor="text1" w:themeTint="BF"/>
    </w:rPr>
  </w:style>
  <w:style w:type="paragraph" w:styleId="ListParagraph">
    <w:name w:val="List Paragraph"/>
    <w:basedOn w:val="Normal"/>
    <w:uiPriority w:val="34"/>
    <w:qFormat/>
    <w:rsid w:val="00C31A77"/>
    <w:pPr>
      <w:ind w:left="720"/>
      <w:contextualSpacing/>
    </w:pPr>
  </w:style>
  <w:style w:type="character" w:styleId="IntenseEmphasis">
    <w:name w:val="Intense Emphasis"/>
    <w:basedOn w:val="DefaultParagraphFont"/>
    <w:uiPriority w:val="21"/>
    <w:qFormat/>
    <w:rsid w:val="00C31A77"/>
    <w:rPr>
      <w:i/>
      <w:iCs/>
      <w:color w:val="0F4761" w:themeColor="accent1" w:themeShade="BF"/>
    </w:rPr>
  </w:style>
  <w:style w:type="paragraph" w:styleId="IntenseQuote">
    <w:name w:val="Intense Quote"/>
    <w:basedOn w:val="Normal"/>
    <w:next w:val="Normal"/>
    <w:link w:val="IntenseQuoteChar"/>
    <w:uiPriority w:val="30"/>
    <w:qFormat/>
    <w:rsid w:val="00C31A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1A77"/>
    <w:rPr>
      <w:i/>
      <w:iCs/>
      <w:color w:val="0F4761" w:themeColor="accent1" w:themeShade="BF"/>
    </w:rPr>
  </w:style>
  <w:style w:type="character" w:styleId="IntenseReference">
    <w:name w:val="Intense Reference"/>
    <w:basedOn w:val="DefaultParagraphFont"/>
    <w:uiPriority w:val="32"/>
    <w:qFormat/>
    <w:rsid w:val="00C31A7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247</Words>
  <Characters>1414</Characters>
  <Application>Microsoft Office Word</Application>
  <DocSecurity>0</DocSecurity>
  <Lines>11</Lines>
  <Paragraphs>3</Paragraphs>
  <ScaleCrop>false</ScaleCrop>
  <Company/>
  <LinksUpToDate>false</LinksUpToDate>
  <CharactersWithSpaces>1658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 vika</dc:creator>
  <cp:keywords/>
  <dc:description/>
  <cp:lastModifiedBy>az vika</cp:lastModifiedBy>
  <cp:revision>1</cp:revision>
  <dcterms:created xsi:type="dcterms:W3CDTF">2025-09-03T08:27:00Z</dcterms:created>
  <dcterms:modified xsi:type="dcterms:W3CDTF">2025-09-03T08:27:00Z</dcterms:modified>
</cp:coreProperties>
</file>