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D6EC2" w14:textId="77777777" w:rsidR="00A91302" w:rsidRPr="00A91302" w:rsidRDefault="00A91302" w:rsidP="00A91302">
      <w:pPr>
        <w:bidi/>
        <w:spacing w:line="259" w:lineRule="auto"/>
        <w:rPr>
          <w:rFonts w:ascii="Calibri" w:eastAsia="Calibri" w:hAnsi="Calibri" w:cs="Arial"/>
          <w:b/>
          <w:bCs/>
          <w:kern w:val="0"/>
          <w:sz w:val="22"/>
          <w:szCs w:val="22"/>
          <w:lang w:val="en-US"/>
          <w14:ligatures w14:val="none"/>
        </w:rPr>
      </w:pPr>
      <w:r w:rsidRPr="00A91302">
        <w:rPr>
          <w:rFonts w:ascii="Calibri" w:eastAsia="Calibri" w:hAnsi="Calibri" w:cs="Arial"/>
          <w:b/>
          <w:bCs/>
          <w:kern w:val="0"/>
          <w:sz w:val="22"/>
          <w:szCs w:val="22"/>
          <w:rtl/>
          <w:lang w:val="en-US"/>
          <w14:ligatures w14:val="none"/>
        </w:rPr>
        <w:t>נושא</w:t>
      </w:r>
      <w:r w:rsidRPr="00A91302">
        <w:rPr>
          <w:rFonts w:ascii="Calibri" w:eastAsia="Calibri" w:hAnsi="Calibri" w:cs="Arial"/>
          <w:b/>
          <w:bCs/>
          <w:kern w:val="0"/>
          <w:sz w:val="22"/>
          <w:szCs w:val="22"/>
          <w:lang w:val="en-US"/>
          <w14:ligatures w14:val="none"/>
        </w:rPr>
        <w:t>:</w:t>
      </w:r>
      <w:r w:rsidRPr="00A91302">
        <w:rPr>
          <w:rFonts w:ascii="Calibri" w:eastAsia="Calibri" w:hAnsi="Calibri" w:cs="Arial" w:hint="cs"/>
          <w:b/>
          <w:bCs/>
          <w:kern w:val="0"/>
          <w:sz w:val="22"/>
          <w:szCs w:val="22"/>
          <w:rtl/>
          <w:lang w:val="en-US"/>
          <w14:ligatures w14:val="none"/>
        </w:rPr>
        <w:t xml:space="preserve"> </w:t>
      </w:r>
      <w:r w:rsidRPr="00A91302">
        <w:rPr>
          <w:rFonts w:ascii="Calibri" w:eastAsia="Calibri" w:hAnsi="Calibri" w:cs="Arial"/>
          <w:b/>
          <w:bCs/>
          <w:kern w:val="0"/>
          <w:sz w:val="22"/>
          <w:szCs w:val="22"/>
          <w:rtl/>
          <w:lang w:val="en-US"/>
          <w14:ligatures w14:val="none"/>
        </w:rPr>
        <w:t>הגנה בתביעה משולבת – טענות לאיטום לקוי ונזקים בדירת שכנים</w:t>
      </w:r>
      <w:r w:rsidRPr="00A91302">
        <w:rPr>
          <w:rFonts w:ascii="Calibri" w:eastAsia="Calibri" w:hAnsi="Calibri" w:cs="Arial"/>
          <w:b/>
          <w:bCs/>
          <w:kern w:val="0"/>
          <w:sz w:val="22"/>
          <w:szCs w:val="22"/>
          <w:lang w:val="en-US"/>
          <w14:ligatures w14:val="none"/>
        </w:rPr>
        <w:t>.</w:t>
      </w:r>
    </w:p>
    <w:p w14:paraId="50CF029C" w14:textId="77777777" w:rsidR="00A91302" w:rsidRPr="00A91302" w:rsidRDefault="00A91302" w:rsidP="00A91302">
      <w:pPr>
        <w:bidi/>
        <w:spacing w:line="259" w:lineRule="auto"/>
        <w:rPr>
          <w:rFonts w:ascii="Calibri" w:eastAsia="Calibri" w:hAnsi="Calibri" w:cs="Arial"/>
          <w:kern w:val="0"/>
          <w:sz w:val="22"/>
          <w:szCs w:val="22"/>
          <w:lang w:val="en-US"/>
          <w14:ligatures w14:val="none"/>
        </w:rPr>
      </w:pPr>
      <w:r w:rsidRPr="00A91302">
        <w:rPr>
          <w:rFonts w:ascii="Calibri" w:eastAsia="Calibri" w:hAnsi="Calibri" w:cs="Arial"/>
          <w:b/>
          <w:bCs/>
          <w:kern w:val="0"/>
          <w:sz w:val="22"/>
          <w:szCs w:val="22"/>
          <w:rtl/>
          <w:lang w:val="en-US"/>
          <w14:ligatures w14:val="none"/>
        </w:rPr>
        <w:t>סיפור הצלחה</w:t>
      </w:r>
      <w:r w:rsidRPr="00A91302">
        <w:rPr>
          <w:rFonts w:ascii="Calibri" w:eastAsia="Calibri" w:hAnsi="Calibri" w:cs="Arial"/>
          <w:b/>
          <w:bCs/>
          <w:kern w:val="0"/>
          <w:sz w:val="22"/>
          <w:szCs w:val="22"/>
          <w:lang w:val="en-US"/>
          <w14:ligatures w14:val="none"/>
        </w:rPr>
        <w:t>:</w:t>
      </w:r>
      <w:r w:rsidRPr="00A91302">
        <w:rPr>
          <w:rFonts w:ascii="Calibri" w:eastAsia="Calibri" w:hAnsi="Calibri" w:cs="Arial"/>
          <w:kern w:val="0"/>
          <w:sz w:val="22"/>
          <w:szCs w:val="22"/>
          <w:lang w:val="en-US"/>
          <w14:ligatures w14:val="none"/>
        </w:rPr>
        <w:br/>
      </w:r>
      <w:r w:rsidRPr="00A91302">
        <w:rPr>
          <w:rFonts w:ascii="Calibri" w:eastAsia="Calibri" w:hAnsi="Calibri" w:cs="Arial"/>
          <w:kern w:val="0"/>
          <w:sz w:val="22"/>
          <w:szCs w:val="22"/>
          <w:rtl/>
          <w:lang w:val="en-US"/>
          <w14:ligatures w14:val="none"/>
        </w:rPr>
        <w:t>משרדנו ייצג בעל דירה בקומה השנייה בבניין ברחוב ההסתדרות 208 בחיפה, שלה צמוד חלק מגג הבניין. התובעים, בעלי הדירה שמתחתיו, טענו כי הגג כולו מצוי בבעלותו הבלעדית של מרשנו, וכי בשל איטום לקוי חלו נזילות שגרמו לנזקים כבדים לדירתם ולשוכרים המתגוררים בה. הם ביקשו מבית המשפט להורות למרשנו לבצע תיקוני איטום מיידיים ולשלם להם פיצויים בגין נזקי רכוש, עוגמת נפש ואובדן הכנסות</w:t>
      </w:r>
      <w:r w:rsidRPr="00A91302">
        <w:rPr>
          <w:rFonts w:ascii="Calibri" w:eastAsia="Calibri" w:hAnsi="Calibri" w:cs="Arial"/>
          <w:kern w:val="0"/>
          <w:sz w:val="22"/>
          <w:szCs w:val="22"/>
          <w:lang w:val="en-US"/>
          <w14:ligatures w14:val="none"/>
        </w:rPr>
        <w:t>.</w:t>
      </w:r>
    </w:p>
    <w:p w14:paraId="30A402E6" w14:textId="77777777" w:rsidR="00A91302" w:rsidRPr="00A91302" w:rsidRDefault="00A91302" w:rsidP="00A91302">
      <w:pPr>
        <w:bidi/>
        <w:spacing w:line="259" w:lineRule="auto"/>
        <w:rPr>
          <w:rFonts w:ascii="Calibri" w:eastAsia="Calibri" w:hAnsi="Calibri" w:cs="Arial"/>
          <w:kern w:val="0"/>
          <w:sz w:val="22"/>
          <w:szCs w:val="22"/>
          <w:lang w:val="en-US"/>
          <w14:ligatures w14:val="none"/>
        </w:rPr>
      </w:pPr>
      <w:r w:rsidRPr="00A91302">
        <w:rPr>
          <w:rFonts w:ascii="Calibri" w:eastAsia="Calibri" w:hAnsi="Calibri" w:cs="Arial"/>
          <w:b/>
          <w:bCs/>
          <w:kern w:val="0"/>
          <w:sz w:val="22"/>
          <w:szCs w:val="22"/>
          <w:rtl/>
          <w:lang w:val="en-US"/>
          <w14:ligatures w14:val="none"/>
        </w:rPr>
        <w:t>האסטרטגיה המשפטית שבנינו</w:t>
      </w:r>
      <w:r w:rsidRPr="00A91302">
        <w:rPr>
          <w:rFonts w:ascii="Calibri" w:eastAsia="Calibri" w:hAnsi="Calibri" w:cs="Arial"/>
          <w:b/>
          <w:bCs/>
          <w:kern w:val="0"/>
          <w:sz w:val="22"/>
          <w:szCs w:val="22"/>
          <w:lang w:val="en-US"/>
          <w14:ligatures w14:val="none"/>
        </w:rPr>
        <w:t>:</w:t>
      </w:r>
    </w:p>
    <w:p w14:paraId="1F0FFE6F" w14:textId="77777777" w:rsidR="00A91302" w:rsidRPr="00A91302" w:rsidRDefault="00A91302" w:rsidP="00A91302">
      <w:pPr>
        <w:numPr>
          <w:ilvl w:val="0"/>
          <w:numId w:val="1"/>
        </w:numPr>
        <w:bidi/>
        <w:spacing w:line="259" w:lineRule="auto"/>
        <w:rPr>
          <w:rFonts w:ascii="Calibri" w:eastAsia="Calibri" w:hAnsi="Calibri" w:cs="Arial"/>
          <w:kern w:val="0"/>
          <w:sz w:val="22"/>
          <w:szCs w:val="22"/>
          <w:lang w:val="en-US"/>
          <w14:ligatures w14:val="none"/>
        </w:rPr>
      </w:pPr>
      <w:r w:rsidRPr="00A91302">
        <w:rPr>
          <w:rFonts w:ascii="Calibri" w:eastAsia="Calibri" w:hAnsi="Calibri" w:cs="Arial"/>
          <w:b/>
          <w:bCs/>
          <w:kern w:val="0"/>
          <w:sz w:val="22"/>
          <w:szCs w:val="22"/>
          <w:rtl/>
          <w:lang w:val="en-US"/>
          <w14:ligatures w14:val="none"/>
        </w:rPr>
        <w:t>הפרכת הטענה לבעלות בלעדית על הגג</w:t>
      </w:r>
      <w:r w:rsidRPr="00A91302">
        <w:rPr>
          <w:rFonts w:ascii="Calibri" w:eastAsia="Calibri" w:hAnsi="Calibri" w:cs="Arial"/>
          <w:kern w:val="0"/>
          <w:sz w:val="22"/>
          <w:szCs w:val="22"/>
          <w:rtl/>
          <w:lang w:val="en-US"/>
          <w14:ligatures w14:val="none"/>
        </w:rPr>
        <w:t xml:space="preserve"> </w:t>
      </w:r>
      <w:r w:rsidRPr="00A91302">
        <w:rPr>
          <w:rFonts w:ascii="Calibri" w:eastAsia="Calibri" w:hAnsi="Calibri" w:cs="Arial"/>
          <w:kern w:val="0"/>
          <w:sz w:val="22"/>
          <w:szCs w:val="22"/>
          <w:lang w:val="en-US"/>
          <w14:ligatures w14:val="none"/>
        </w:rPr>
        <w:t xml:space="preserve">– </w:t>
      </w:r>
      <w:r w:rsidRPr="00A91302">
        <w:rPr>
          <w:rFonts w:ascii="Calibri" w:eastAsia="Calibri" w:hAnsi="Calibri" w:cs="Arial"/>
          <w:kern w:val="0"/>
          <w:sz w:val="22"/>
          <w:szCs w:val="22"/>
          <w:rtl/>
          <w:lang w:val="en-US"/>
          <w14:ligatures w14:val="none"/>
        </w:rPr>
        <w:t xml:space="preserve">הצגנו </w:t>
      </w:r>
      <w:proofErr w:type="spellStart"/>
      <w:r w:rsidRPr="00A91302">
        <w:rPr>
          <w:rFonts w:ascii="Calibri" w:eastAsia="Calibri" w:hAnsi="Calibri" w:cs="Arial"/>
          <w:kern w:val="0"/>
          <w:sz w:val="22"/>
          <w:szCs w:val="22"/>
          <w:rtl/>
          <w:lang w:val="en-US"/>
          <w14:ligatures w14:val="none"/>
        </w:rPr>
        <w:t>תשריט</w:t>
      </w:r>
      <w:proofErr w:type="spellEnd"/>
      <w:r w:rsidRPr="00A91302">
        <w:rPr>
          <w:rFonts w:ascii="Calibri" w:eastAsia="Calibri" w:hAnsi="Calibri" w:cs="Arial"/>
          <w:kern w:val="0"/>
          <w:sz w:val="22"/>
          <w:szCs w:val="22"/>
          <w:rtl/>
          <w:lang w:val="en-US"/>
          <w14:ligatures w14:val="none"/>
        </w:rPr>
        <w:t xml:space="preserve"> הבית המשותף המראה כי רק חלק מהגג צמוד למרשנו, בעוד יתר השטח מצוי בבעלות משותפת. כך יצרנו סימן שאלה ממשי באשר לאחריותו הבלעדית לליקויים הנטענים</w:t>
      </w:r>
      <w:r w:rsidRPr="00A91302">
        <w:rPr>
          <w:rFonts w:ascii="Calibri" w:eastAsia="Calibri" w:hAnsi="Calibri" w:cs="Arial"/>
          <w:kern w:val="0"/>
          <w:sz w:val="22"/>
          <w:szCs w:val="22"/>
          <w:lang w:val="en-US"/>
          <w14:ligatures w14:val="none"/>
        </w:rPr>
        <w:t>.</w:t>
      </w:r>
    </w:p>
    <w:p w14:paraId="43A0A9BD" w14:textId="77777777" w:rsidR="00A91302" w:rsidRPr="00A91302" w:rsidRDefault="00A91302" w:rsidP="00A91302">
      <w:pPr>
        <w:numPr>
          <w:ilvl w:val="0"/>
          <w:numId w:val="1"/>
        </w:numPr>
        <w:bidi/>
        <w:spacing w:line="259" w:lineRule="auto"/>
        <w:rPr>
          <w:rFonts w:ascii="Calibri" w:eastAsia="Calibri" w:hAnsi="Calibri" w:cs="Arial"/>
          <w:kern w:val="0"/>
          <w:sz w:val="22"/>
          <w:szCs w:val="22"/>
          <w:lang w:val="en-US"/>
          <w14:ligatures w14:val="none"/>
        </w:rPr>
      </w:pPr>
      <w:r w:rsidRPr="00A91302">
        <w:rPr>
          <w:rFonts w:ascii="Calibri" w:eastAsia="Calibri" w:hAnsi="Calibri" w:cs="Arial"/>
          <w:b/>
          <w:bCs/>
          <w:kern w:val="0"/>
          <w:sz w:val="22"/>
          <w:szCs w:val="22"/>
          <w:rtl/>
          <w:lang w:val="en-US"/>
          <w14:ligatures w14:val="none"/>
        </w:rPr>
        <w:t>העלאת טענת שימוש לא מורשה של התובעים בגג</w:t>
      </w:r>
      <w:r w:rsidRPr="00A91302">
        <w:rPr>
          <w:rFonts w:ascii="Calibri" w:eastAsia="Calibri" w:hAnsi="Calibri" w:cs="Arial"/>
          <w:kern w:val="0"/>
          <w:sz w:val="22"/>
          <w:szCs w:val="22"/>
          <w:rtl/>
          <w:lang w:val="en-US"/>
          <w14:ligatures w14:val="none"/>
        </w:rPr>
        <w:t xml:space="preserve"> </w:t>
      </w:r>
      <w:r w:rsidRPr="00A91302">
        <w:rPr>
          <w:rFonts w:ascii="Calibri" w:eastAsia="Calibri" w:hAnsi="Calibri" w:cs="Arial"/>
          <w:kern w:val="0"/>
          <w:sz w:val="22"/>
          <w:szCs w:val="22"/>
          <w:lang w:val="en-US"/>
          <w14:ligatures w14:val="none"/>
        </w:rPr>
        <w:t xml:space="preserve">– </w:t>
      </w:r>
      <w:r w:rsidRPr="00A91302">
        <w:rPr>
          <w:rFonts w:ascii="Calibri" w:eastAsia="Calibri" w:hAnsi="Calibri" w:cs="Arial"/>
          <w:kern w:val="0"/>
          <w:sz w:val="22"/>
          <w:szCs w:val="22"/>
          <w:rtl/>
          <w:lang w:val="en-US"/>
          <w14:ligatures w14:val="none"/>
        </w:rPr>
        <w:t>הוכחנו כי התובעים פלשו לשטח הצמוד למרשנו, התקינו בו מזגן ושלט פרסומי ללא רשות וללא תשלום דמי שימוש, דבר הפוגע בניקיון כפיהם ומחזק את הטענה להתנהלות חסרת תום לב מצדם</w:t>
      </w:r>
      <w:r w:rsidRPr="00A91302">
        <w:rPr>
          <w:rFonts w:ascii="Calibri" w:eastAsia="Calibri" w:hAnsi="Calibri" w:cs="Arial"/>
          <w:kern w:val="0"/>
          <w:sz w:val="22"/>
          <w:szCs w:val="22"/>
          <w:lang w:val="en-US"/>
          <w14:ligatures w14:val="none"/>
        </w:rPr>
        <w:t>.</w:t>
      </w:r>
    </w:p>
    <w:p w14:paraId="059C8118" w14:textId="77777777" w:rsidR="00A91302" w:rsidRPr="00A91302" w:rsidRDefault="00A91302" w:rsidP="00A91302">
      <w:pPr>
        <w:numPr>
          <w:ilvl w:val="0"/>
          <w:numId w:val="1"/>
        </w:numPr>
        <w:bidi/>
        <w:spacing w:line="259" w:lineRule="auto"/>
        <w:rPr>
          <w:rFonts w:ascii="Calibri" w:eastAsia="Calibri" w:hAnsi="Calibri" w:cs="Arial"/>
          <w:kern w:val="0"/>
          <w:sz w:val="22"/>
          <w:szCs w:val="22"/>
          <w:lang w:val="en-US"/>
          <w14:ligatures w14:val="none"/>
        </w:rPr>
      </w:pPr>
      <w:r w:rsidRPr="00A91302">
        <w:rPr>
          <w:rFonts w:ascii="Calibri" w:eastAsia="Calibri" w:hAnsi="Calibri" w:cs="Arial"/>
          <w:b/>
          <w:bCs/>
          <w:kern w:val="0"/>
          <w:sz w:val="22"/>
          <w:szCs w:val="22"/>
          <w:rtl/>
          <w:lang w:val="en-US"/>
          <w14:ligatures w14:val="none"/>
        </w:rPr>
        <w:t>הצבעה על גורמים חלופיים לנזק</w:t>
      </w:r>
      <w:r w:rsidRPr="00A91302">
        <w:rPr>
          <w:rFonts w:ascii="Calibri" w:eastAsia="Calibri" w:hAnsi="Calibri" w:cs="Arial"/>
          <w:kern w:val="0"/>
          <w:sz w:val="22"/>
          <w:szCs w:val="22"/>
          <w:rtl/>
          <w:lang w:val="en-US"/>
          <w14:ligatures w14:val="none"/>
        </w:rPr>
        <w:t xml:space="preserve"> </w:t>
      </w:r>
      <w:r w:rsidRPr="00A91302">
        <w:rPr>
          <w:rFonts w:ascii="Calibri" w:eastAsia="Calibri" w:hAnsi="Calibri" w:cs="Arial"/>
          <w:kern w:val="0"/>
          <w:sz w:val="22"/>
          <w:szCs w:val="22"/>
          <w:lang w:val="en-US"/>
          <w14:ligatures w14:val="none"/>
        </w:rPr>
        <w:t xml:space="preserve">– </w:t>
      </w:r>
      <w:r w:rsidRPr="00A91302">
        <w:rPr>
          <w:rFonts w:ascii="Calibri" w:eastAsia="Calibri" w:hAnsi="Calibri" w:cs="Arial"/>
          <w:kern w:val="0"/>
          <w:sz w:val="22"/>
          <w:szCs w:val="22"/>
          <w:rtl/>
          <w:lang w:val="en-US"/>
          <w14:ligatures w14:val="none"/>
        </w:rPr>
        <w:t>טענו כי ייתכן שמקור הנזילה במזגן שהתקינו התובעים, או באזורים משותפים שאינם בתחום אחריותו של מרשנו, ובכך ערערנו על הקשר הסיבתי בין מעשיו של מרשנו לנזק הנטען</w:t>
      </w:r>
      <w:r w:rsidRPr="00A91302">
        <w:rPr>
          <w:rFonts w:ascii="Calibri" w:eastAsia="Calibri" w:hAnsi="Calibri" w:cs="Arial"/>
          <w:kern w:val="0"/>
          <w:sz w:val="22"/>
          <w:szCs w:val="22"/>
          <w:lang w:val="en-US"/>
          <w14:ligatures w14:val="none"/>
        </w:rPr>
        <w:t>.</w:t>
      </w:r>
    </w:p>
    <w:p w14:paraId="6011297E" w14:textId="77777777" w:rsidR="00A91302" w:rsidRPr="00A91302" w:rsidRDefault="00A91302" w:rsidP="00A91302">
      <w:pPr>
        <w:numPr>
          <w:ilvl w:val="0"/>
          <w:numId w:val="1"/>
        </w:numPr>
        <w:bidi/>
        <w:spacing w:line="259" w:lineRule="auto"/>
        <w:rPr>
          <w:rFonts w:ascii="Calibri" w:eastAsia="Calibri" w:hAnsi="Calibri" w:cs="Arial"/>
          <w:kern w:val="0"/>
          <w:sz w:val="22"/>
          <w:szCs w:val="22"/>
          <w:lang w:val="en-US"/>
          <w14:ligatures w14:val="none"/>
        </w:rPr>
      </w:pPr>
      <w:r w:rsidRPr="00A91302">
        <w:rPr>
          <w:rFonts w:ascii="Calibri" w:eastAsia="Calibri" w:hAnsi="Calibri" w:cs="Arial"/>
          <w:b/>
          <w:bCs/>
          <w:kern w:val="0"/>
          <w:sz w:val="22"/>
          <w:szCs w:val="22"/>
          <w:rtl/>
          <w:lang w:val="en-US"/>
          <w14:ligatures w14:val="none"/>
        </w:rPr>
        <w:t>סוגיית הסמכות</w:t>
      </w:r>
      <w:r w:rsidRPr="00A91302">
        <w:rPr>
          <w:rFonts w:ascii="Calibri" w:eastAsia="Calibri" w:hAnsi="Calibri" w:cs="Arial"/>
          <w:kern w:val="0"/>
          <w:sz w:val="22"/>
          <w:szCs w:val="22"/>
          <w:rtl/>
          <w:lang w:val="en-US"/>
          <w14:ligatures w14:val="none"/>
        </w:rPr>
        <w:t xml:space="preserve"> </w:t>
      </w:r>
      <w:r w:rsidRPr="00A91302">
        <w:rPr>
          <w:rFonts w:ascii="Calibri" w:eastAsia="Calibri" w:hAnsi="Calibri" w:cs="Arial"/>
          <w:kern w:val="0"/>
          <w:sz w:val="22"/>
          <w:szCs w:val="22"/>
          <w:lang w:val="en-US"/>
          <w14:ligatures w14:val="none"/>
        </w:rPr>
        <w:t xml:space="preserve">– </w:t>
      </w:r>
      <w:r w:rsidRPr="00A91302">
        <w:rPr>
          <w:rFonts w:ascii="Calibri" w:eastAsia="Calibri" w:hAnsi="Calibri" w:cs="Arial"/>
          <w:kern w:val="0"/>
          <w:sz w:val="22"/>
          <w:szCs w:val="22"/>
          <w:rtl/>
          <w:lang w:val="en-US"/>
          <w14:ligatures w14:val="none"/>
        </w:rPr>
        <w:t xml:space="preserve">הדגשנו כי חלק </w:t>
      </w:r>
      <w:proofErr w:type="spellStart"/>
      <w:r w:rsidRPr="00A91302">
        <w:rPr>
          <w:rFonts w:ascii="Calibri" w:eastAsia="Calibri" w:hAnsi="Calibri" w:cs="Arial"/>
          <w:kern w:val="0"/>
          <w:sz w:val="22"/>
          <w:szCs w:val="22"/>
          <w:rtl/>
          <w:lang w:val="en-US"/>
          <w14:ligatures w14:val="none"/>
        </w:rPr>
        <w:t>מהסעדים</w:t>
      </w:r>
      <w:proofErr w:type="spellEnd"/>
      <w:r w:rsidRPr="00A91302">
        <w:rPr>
          <w:rFonts w:ascii="Calibri" w:eastAsia="Calibri" w:hAnsi="Calibri" w:cs="Arial"/>
          <w:kern w:val="0"/>
          <w:sz w:val="22"/>
          <w:szCs w:val="22"/>
          <w:rtl/>
          <w:lang w:val="en-US"/>
          <w14:ligatures w14:val="none"/>
        </w:rPr>
        <w:t xml:space="preserve"> הנתבעים הם נזיקיים (פיצויים בגין עוגמת נפש, נזקי בריאות ואובדן ימי עבודה) ואינם בסמכות המפקחת על המקרקעין. לפיכך, ביקשנו למחוק אותם על הסף, ובאותה נשימה טענו כי גם בקשתם ל"פיצול סעדים" חורגת מסמכות</w:t>
      </w:r>
      <w:r w:rsidRPr="00A91302">
        <w:rPr>
          <w:rFonts w:ascii="Calibri" w:eastAsia="Calibri" w:hAnsi="Calibri" w:cs="Arial"/>
          <w:kern w:val="0"/>
          <w:sz w:val="22"/>
          <w:szCs w:val="22"/>
          <w:lang w:val="en-US"/>
          <w14:ligatures w14:val="none"/>
        </w:rPr>
        <w:t>.</w:t>
      </w:r>
    </w:p>
    <w:p w14:paraId="0D71B452" w14:textId="77777777" w:rsidR="00A91302" w:rsidRPr="00A91302" w:rsidRDefault="00A91302" w:rsidP="00A91302">
      <w:pPr>
        <w:numPr>
          <w:ilvl w:val="0"/>
          <w:numId w:val="1"/>
        </w:numPr>
        <w:bidi/>
        <w:spacing w:line="259" w:lineRule="auto"/>
        <w:rPr>
          <w:rFonts w:ascii="Calibri" w:eastAsia="Calibri" w:hAnsi="Calibri" w:cs="Arial"/>
          <w:kern w:val="0"/>
          <w:sz w:val="22"/>
          <w:szCs w:val="22"/>
          <w:lang w:val="en-US"/>
          <w14:ligatures w14:val="none"/>
        </w:rPr>
      </w:pPr>
      <w:r w:rsidRPr="00A91302">
        <w:rPr>
          <w:rFonts w:ascii="Calibri" w:eastAsia="Calibri" w:hAnsi="Calibri" w:cs="Arial"/>
          <w:b/>
          <w:bCs/>
          <w:kern w:val="0"/>
          <w:sz w:val="22"/>
          <w:szCs w:val="22"/>
          <w:rtl/>
          <w:lang w:val="en-US"/>
          <w14:ligatures w14:val="none"/>
        </w:rPr>
        <w:t>הצגת היסטוריה של תחזוקה הוגנת</w:t>
      </w:r>
      <w:r w:rsidRPr="00A91302">
        <w:rPr>
          <w:rFonts w:ascii="Calibri" w:eastAsia="Calibri" w:hAnsi="Calibri" w:cs="Arial"/>
          <w:kern w:val="0"/>
          <w:sz w:val="22"/>
          <w:szCs w:val="22"/>
          <w:rtl/>
          <w:lang w:val="en-US"/>
          <w14:ligatures w14:val="none"/>
        </w:rPr>
        <w:t xml:space="preserve"> </w:t>
      </w:r>
      <w:r w:rsidRPr="00A91302">
        <w:rPr>
          <w:rFonts w:ascii="Calibri" w:eastAsia="Calibri" w:hAnsi="Calibri" w:cs="Arial"/>
          <w:kern w:val="0"/>
          <w:sz w:val="22"/>
          <w:szCs w:val="22"/>
          <w:lang w:val="en-US"/>
          <w14:ligatures w14:val="none"/>
        </w:rPr>
        <w:t xml:space="preserve">– </w:t>
      </w:r>
      <w:r w:rsidRPr="00A91302">
        <w:rPr>
          <w:rFonts w:ascii="Calibri" w:eastAsia="Calibri" w:hAnsi="Calibri" w:cs="Arial"/>
          <w:kern w:val="0"/>
          <w:sz w:val="22"/>
          <w:szCs w:val="22"/>
          <w:rtl/>
          <w:lang w:val="en-US"/>
          <w14:ligatures w14:val="none"/>
        </w:rPr>
        <w:t>הבאנו עדויות ומסמכים המראים כי מרשנו השקיע במשך השנים מכספו הפרטי בתיקונים ואיטום בגג, גם במקרים שבהם מדובר היה בשטח משותף, ובכך חיזקנו את דימויו כבעל דירה אחראי והוגן</w:t>
      </w:r>
      <w:r w:rsidRPr="00A91302">
        <w:rPr>
          <w:rFonts w:ascii="Calibri" w:eastAsia="Calibri" w:hAnsi="Calibri" w:cs="Arial"/>
          <w:kern w:val="0"/>
          <w:sz w:val="22"/>
          <w:szCs w:val="22"/>
          <w:lang w:val="en-US"/>
          <w14:ligatures w14:val="none"/>
        </w:rPr>
        <w:t>.</w:t>
      </w:r>
    </w:p>
    <w:p w14:paraId="5E1F76B1" w14:textId="77777777" w:rsidR="00A91302" w:rsidRPr="00A91302" w:rsidRDefault="00A91302" w:rsidP="00A91302">
      <w:pPr>
        <w:bidi/>
        <w:spacing w:line="259" w:lineRule="auto"/>
        <w:rPr>
          <w:rFonts w:ascii="Calibri" w:eastAsia="Calibri" w:hAnsi="Calibri" w:cs="Arial"/>
          <w:kern w:val="0"/>
          <w:sz w:val="22"/>
          <w:szCs w:val="22"/>
          <w:lang w:val="en-US"/>
          <w14:ligatures w14:val="none"/>
        </w:rPr>
      </w:pPr>
      <w:r w:rsidRPr="00A91302">
        <w:rPr>
          <w:rFonts w:ascii="Calibri" w:eastAsia="Calibri" w:hAnsi="Calibri" w:cs="Arial"/>
          <w:b/>
          <w:bCs/>
          <w:kern w:val="0"/>
          <w:sz w:val="22"/>
          <w:szCs w:val="22"/>
          <w:rtl/>
          <w:lang w:val="en-US"/>
          <w14:ligatures w14:val="none"/>
        </w:rPr>
        <w:t>התוצאה</w:t>
      </w:r>
      <w:r w:rsidRPr="00A91302">
        <w:rPr>
          <w:rFonts w:ascii="Calibri" w:eastAsia="Calibri" w:hAnsi="Calibri" w:cs="Arial"/>
          <w:b/>
          <w:bCs/>
          <w:kern w:val="0"/>
          <w:sz w:val="22"/>
          <w:szCs w:val="22"/>
          <w:lang w:val="en-US"/>
          <w14:ligatures w14:val="none"/>
        </w:rPr>
        <w:t>:</w:t>
      </w:r>
      <w:r w:rsidRPr="00A91302">
        <w:rPr>
          <w:rFonts w:ascii="Calibri" w:eastAsia="Calibri" w:hAnsi="Calibri" w:cs="Arial"/>
          <w:kern w:val="0"/>
          <w:sz w:val="22"/>
          <w:szCs w:val="22"/>
          <w:lang w:val="en-US"/>
          <w14:ligatures w14:val="none"/>
        </w:rPr>
        <w:br/>
      </w:r>
      <w:r w:rsidRPr="00A91302">
        <w:rPr>
          <w:rFonts w:ascii="Calibri" w:eastAsia="Calibri" w:hAnsi="Calibri" w:cs="Arial"/>
          <w:kern w:val="0"/>
          <w:sz w:val="22"/>
          <w:szCs w:val="22"/>
          <w:rtl/>
          <w:lang w:val="en-US"/>
          <w14:ligatures w14:val="none"/>
        </w:rPr>
        <w:t>באמצעות ניתוח מדויק של מסמכי הבית המשותף, העלאת טענות קנייניות וניהוליות נכונות, וחשיפת פגמים מהותיים בכתב התביעה – הצלחנו להחליש באופן משמעותי את עילת התביעה, למקד את הדיון בשאלת הבעלות והאחריות בפועל, ולבסס הגנה איתנה מפני חיוב כספי שאינו מוצדק</w:t>
      </w:r>
      <w:r w:rsidRPr="00A91302">
        <w:rPr>
          <w:rFonts w:ascii="Calibri" w:eastAsia="Calibri" w:hAnsi="Calibri" w:cs="Arial"/>
          <w:kern w:val="0"/>
          <w:sz w:val="22"/>
          <w:szCs w:val="22"/>
          <w:lang w:val="en-US"/>
          <w14:ligatures w14:val="none"/>
        </w:rPr>
        <w:t>.</w:t>
      </w:r>
    </w:p>
    <w:p w14:paraId="60857E9F" w14:textId="77777777" w:rsidR="00A91302" w:rsidRPr="00A91302" w:rsidRDefault="00A91302">
      <w:pPr>
        <w:rPr>
          <w:lang w:val="en-US"/>
        </w:rPr>
      </w:pPr>
    </w:p>
    <w:sectPr w:rsidR="00A91302" w:rsidRPr="00A91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4213AF"/>
    <w:multiLevelType w:val="multilevel"/>
    <w:tmpl w:val="9C04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2589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302"/>
    <w:rsid w:val="00A91302"/>
    <w:rsid w:val="00E246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B9B3"/>
  <w15:chartTrackingRefBased/>
  <w15:docId w15:val="{D736667A-7DFD-4DA7-9997-CD99274EE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3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13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13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13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3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3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3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3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3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3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13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13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13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13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13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3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3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302"/>
    <w:rPr>
      <w:rFonts w:eastAsiaTheme="majorEastAsia" w:cstheme="majorBidi"/>
      <w:color w:val="272727" w:themeColor="text1" w:themeTint="D8"/>
    </w:rPr>
  </w:style>
  <w:style w:type="paragraph" w:styleId="Title">
    <w:name w:val="Title"/>
    <w:basedOn w:val="Normal"/>
    <w:next w:val="Normal"/>
    <w:link w:val="TitleChar"/>
    <w:uiPriority w:val="10"/>
    <w:qFormat/>
    <w:rsid w:val="00A913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3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3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3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302"/>
    <w:pPr>
      <w:spacing w:before="160"/>
      <w:jc w:val="center"/>
    </w:pPr>
    <w:rPr>
      <w:i/>
      <w:iCs/>
      <w:color w:val="404040" w:themeColor="text1" w:themeTint="BF"/>
    </w:rPr>
  </w:style>
  <w:style w:type="character" w:customStyle="1" w:styleId="QuoteChar">
    <w:name w:val="Quote Char"/>
    <w:basedOn w:val="DefaultParagraphFont"/>
    <w:link w:val="Quote"/>
    <w:uiPriority w:val="29"/>
    <w:rsid w:val="00A91302"/>
    <w:rPr>
      <w:i/>
      <w:iCs/>
      <w:color w:val="404040" w:themeColor="text1" w:themeTint="BF"/>
    </w:rPr>
  </w:style>
  <w:style w:type="paragraph" w:styleId="ListParagraph">
    <w:name w:val="List Paragraph"/>
    <w:basedOn w:val="Normal"/>
    <w:uiPriority w:val="34"/>
    <w:qFormat/>
    <w:rsid w:val="00A91302"/>
    <w:pPr>
      <w:ind w:left="720"/>
      <w:contextualSpacing/>
    </w:pPr>
  </w:style>
  <w:style w:type="character" w:styleId="IntenseEmphasis">
    <w:name w:val="Intense Emphasis"/>
    <w:basedOn w:val="DefaultParagraphFont"/>
    <w:uiPriority w:val="21"/>
    <w:qFormat/>
    <w:rsid w:val="00A91302"/>
    <w:rPr>
      <w:i/>
      <w:iCs/>
      <w:color w:val="0F4761" w:themeColor="accent1" w:themeShade="BF"/>
    </w:rPr>
  </w:style>
  <w:style w:type="paragraph" w:styleId="IntenseQuote">
    <w:name w:val="Intense Quote"/>
    <w:basedOn w:val="Normal"/>
    <w:next w:val="Normal"/>
    <w:link w:val="IntenseQuoteChar"/>
    <w:uiPriority w:val="30"/>
    <w:qFormat/>
    <w:rsid w:val="00A913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302"/>
    <w:rPr>
      <w:i/>
      <w:iCs/>
      <w:color w:val="0F4761" w:themeColor="accent1" w:themeShade="BF"/>
    </w:rPr>
  </w:style>
  <w:style w:type="character" w:styleId="IntenseReference">
    <w:name w:val="Intense Reference"/>
    <w:basedOn w:val="DefaultParagraphFont"/>
    <w:uiPriority w:val="32"/>
    <w:qFormat/>
    <w:rsid w:val="00A913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vika</dc:creator>
  <cp:keywords/>
  <dc:description/>
  <cp:lastModifiedBy>az vika</cp:lastModifiedBy>
  <cp:revision>1</cp:revision>
  <dcterms:created xsi:type="dcterms:W3CDTF">2025-09-03T08:24:00Z</dcterms:created>
  <dcterms:modified xsi:type="dcterms:W3CDTF">2025-09-03T08:25:00Z</dcterms:modified>
</cp:coreProperties>
</file>