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AE288" w14:textId="77777777" w:rsidR="00BE01BD" w:rsidRPr="00BE01BD" w:rsidRDefault="00BE01BD" w:rsidP="00BE01BD">
      <w:pPr>
        <w:bidi/>
        <w:spacing w:line="259" w:lineRule="auto"/>
        <w:rPr>
          <w:rFonts w:ascii="Calibri" w:eastAsia="Calibri" w:hAnsi="Calibri" w:cs="Arial"/>
          <w:b/>
          <w:bCs/>
          <w:kern w:val="0"/>
          <w:sz w:val="22"/>
          <w:szCs w:val="22"/>
          <w:lang w:val="en-US"/>
          <w14:ligatures w14:val="none"/>
        </w:rPr>
      </w:pPr>
      <w:r w:rsidRPr="00BE01BD">
        <w:rPr>
          <w:rFonts w:ascii="Calibri" w:eastAsia="Calibri" w:hAnsi="Calibri" w:cs="Arial"/>
          <w:b/>
          <w:bCs/>
          <w:kern w:val="0"/>
          <w:sz w:val="22"/>
          <w:szCs w:val="22"/>
          <w:rtl/>
          <w:lang w:val="en-US"/>
          <w14:ligatures w14:val="none"/>
        </w:rPr>
        <w:t>נושא</w:t>
      </w:r>
      <w:r w:rsidRPr="00BE01BD">
        <w:rPr>
          <w:rFonts w:ascii="Calibri" w:eastAsia="Calibri" w:hAnsi="Calibri" w:cs="Arial"/>
          <w:b/>
          <w:bCs/>
          <w:kern w:val="0"/>
          <w:sz w:val="22"/>
          <w:szCs w:val="22"/>
          <w:lang w:val="en-US"/>
          <w14:ligatures w14:val="none"/>
        </w:rPr>
        <w:t>:</w:t>
      </w:r>
      <w:r w:rsidRPr="00BE01BD">
        <w:rPr>
          <w:rFonts w:ascii="Calibri" w:eastAsia="Calibri" w:hAnsi="Calibri" w:cs="Arial" w:hint="cs"/>
          <w:b/>
          <w:bCs/>
          <w:kern w:val="0"/>
          <w:sz w:val="22"/>
          <w:szCs w:val="22"/>
          <w:rtl/>
          <w:lang w:val="en-US"/>
          <w14:ligatures w14:val="none"/>
        </w:rPr>
        <w:t xml:space="preserve"> </w:t>
      </w:r>
      <w:r w:rsidRPr="00BE01BD">
        <w:rPr>
          <w:rFonts w:ascii="Calibri" w:eastAsia="Calibri" w:hAnsi="Calibri" w:cs="Arial"/>
          <w:b/>
          <w:bCs/>
          <w:kern w:val="0"/>
          <w:sz w:val="22"/>
          <w:szCs w:val="22"/>
          <w:rtl/>
          <w:lang w:val="en-US"/>
          <w14:ligatures w14:val="none"/>
        </w:rPr>
        <w:t>הגנה מפני תביעה למתן צו עשה – טענות פלישה ובנייה בלתי חוקית בבית משותף</w:t>
      </w:r>
      <w:r w:rsidRPr="00BE01BD">
        <w:rPr>
          <w:rFonts w:ascii="Calibri" w:eastAsia="Calibri" w:hAnsi="Calibri" w:cs="Arial"/>
          <w:b/>
          <w:bCs/>
          <w:kern w:val="0"/>
          <w:sz w:val="22"/>
          <w:szCs w:val="22"/>
          <w:lang w:val="en-US"/>
          <w14:ligatures w14:val="none"/>
        </w:rPr>
        <w:t>.</w:t>
      </w:r>
    </w:p>
    <w:p w14:paraId="75B17A55" w14:textId="77777777" w:rsidR="00BE01BD" w:rsidRPr="00BE01BD" w:rsidRDefault="00BE01BD" w:rsidP="00BE01BD">
      <w:pPr>
        <w:bidi/>
        <w:spacing w:line="259" w:lineRule="auto"/>
        <w:rPr>
          <w:rFonts w:ascii="Calibri" w:eastAsia="Calibri" w:hAnsi="Calibri" w:cs="Arial"/>
          <w:kern w:val="0"/>
          <w:sz w:val="22"/>
          <w:szCs w:val="22"/>
          <w:lang w:val="en-US"/>
          <w14:ligatures w14:val="none"/>
        </w:rPr>
      </w:pPr>
      <w:r w:rsidRPr="00BE01BD">
        <w:rPr>
          <w:rFonts w:ascii="Calibri" w:eastAsia="Calibri" w:hAnsi="Calibri" w:cs="Arial"/>
          <w:b/>
          <w:bCs/>
          <w:kern w:val="0"/>
          <w:sz w:val="22"/>
          <w:szCs w:val="22"/>
          <w:rtl/>
          <w:lang w:val="en-US"/>
          <w14:ligatures w14:val="none"/>
        </w:rPr>
        <w:t>סיפור הצלחה</w:t>
      </w:r>
      <w:r w:rsidRPr="00BE01BD">
        <w:rPr>
          <w:rFonts w:ascii="Calibri" w:eastAsia="Calibri" w:hAnsi="Calibri" w:cs="Arial"/>
          <w:b/>
          <w:bCs/>
          <w:kern w:val="0"/>
          <w:sz w:val="22"/>
          <w:szCs w:val="22"/>
          <w:lang w:val="en-US"/>
          <w14:ligatures w14:val="none"/>
        </w:rPr>
        <w:t>:</w:t>
      </w:r>
      <w:r w:rsidRPr="00BE01BD">
        <w:rPr>
          <w:rFonts w:ascii="Calibri" w:eastAsia="Calibri" w:hAnsi="Calibri" w:cs="Arial"/>
          <w:kern w:val="0"/>
          <w:sz w:val="22"/>
          <w:szCs w:val="22"/>
          <w:lang w:val="en-US"/>
          <w14:ligatures w14:val="none"/>
        </w:rPr>
        <w:br/>
      </w:r>
      <w:r w:rsidRPr="00BE01BD">
        <w:rPr>
          <w:rFonts w:ascii="Calibri" w:eastAsia="Calibri" w:hAnsi="Calibri" w:cs="Arial"/>
          <w:kern w:val="0"/>
          <w:sz w:val="22"/>
          <w:szCs w:val="22"/>
          <w:rtl/>
          <w:lang w:val="en-US"/>
          <w14:ligatures w14:val="none"/>
        </w:rPr>
        <w:t>משרדנו ייצג בעל דירה בבית משותף המונה 16 יחידות, אשר נתבע על ידי מספר שכנים בטענה לבנייה בלתי חוקית, פלישה לרכוש משותף, והשכרת מקלט לצדדים שלישיים. התביעה כללה שורה ארוכה של סעדים, ובהם דרישה להריסת מבנים, פירוק תשתיות, פינוי חצרות, והחזרת מצב לקדמותו</w:t>
      </w:r>
      <w:r w:rsidRPr="00BE01BD">
        <w:rPr>
          <w:rFonts w:ascii="Calibri" w:eastAsia="Calibri" w:hAnsi="Calibri" w:cs="Arial"/>
          <w:kern w:val="0"/>
          <w:sz w:val="22"/>
          <w:szCs w:val="22"/>
          <w:lang w:val="en-US"/>
          <w14:ligatures w14:val="none"/>
        </w:rPr>
        <w:t>.</w:t>
      </w:r>
    </w:p>
    <w:p w14:paraId="34AF03B1" w14:textId="77777777" w:rsidR="00BE01BD" w:rsidRPr="00BE01BD" w:rsidRDefault="00BE01BD" w:rsidP="00BE01BD">
      <w:pPr>
        <w:bidi/>
        <w:spacing w:line="259" w:lineRule="auto"/>
        <w:rPr>
          <w:rFonts w:ascii="Calibri" w:eastAsia="Calibri" w:hAnsi="Calibri" w:cs="Arial"/>
          <w:kern w:val="0"/>
          <w:sz w:val="22"/>
          <w:szCs w:val="22"/>
          <w:lang w:val="en-US"/>
          <w14:ligatures w14:val="none"/>
        </w:rPr>
      </w:pPr>
      <w:r w:rsidRPr="00BE01BD">
        <w:rPr>
          <w:rFonts w:ascii="Calibri" w:eastAsia="Calibri" w:hAnsi="Calibri" w:cs="Arial"/>
          <w:kern w:val="0"/>
          <w:sz w:val="22"/>
          <w:szCs w:val="22"/>
          <w:rtl/>
          <w:lang w:val="en-US"/>
          <w14:ligatures w14:val="none"/>
        </w:rPr>
        <w:t>בכתב ההגנה שהגשנו, הצגנו תמונה שונה לחלוטין</w:t>
      </w:r>
      <w:r w:rsidRPr="00BE01BD">
        <w:rPr>
          <w:rFonts w:ascii="Calibri" w:eastAsia="Calibri" w:hAnsi="Calibri" w:cs="Arial"/>
          <w:kern w:val="0"/>
          <w:sz w:val="22"/>
          <w:szCs w:val="22"/>
          <w:lang w:val="en-US"/>
          <w14:ligatures w14:val="none"/>
        </w:rPr>
        <w:t>:</w:t>
      </w:r>
    </w:p>
    <w:p w14:paraId="392D7E09" w14:textId="77777777" w:rsidR="00BE01BD" w:rsidRPr="00BE01BD" w:rsidRDefault="00BE01BD" w:rsidP="00BE01BD">
      <w:pPr>
        <w:numPr>
          <w:ilvl w:val="0"/>
          <w:numId w:val="1"/>
        </w:numPr>
        <w:bidi/>
        <w:spacing w:line="259" w:lineRule="auto"/>
        <w:rPr>
          <w:rFonts w:ascii="Calibri" w:eastAsia="Calibri" w:hAnsi="Calibri" w:cs="Arial"/>
          <w:kern w:val="0"/>
          <w:sz w:val="22"/>
          <w:szCs w:val="22"/>
          <w:lang w:val="en-US"/>
          <w14:ligatures w14:val="none"/>
        </w:rPr>
      </w:pPr>
      <w:r w:rsidRPr="00BE01BD">
        <w:rPr>
          <w:rFonts w:ascii="Calibri" w:eastAsia="Calibri" w:hAnsi="Calibri" w:cs="Arial"/>
          <w:b/>
          <w:bCs/>
          <w:kern w:val="0"/>
          <w:sz w:val="22"/>
          <w:szCs w:val="22"/>
          <w:rtl/>
          <w:lang w:val="en-US"/>
          <w14:ligatures w14:val="none"/>
        </w:rPr>
        <w:t>הסכמה רחבה של הדיירים</w:t>
      </w:r>
      <w:r w:rsidRPr="00BE01BD">
        <w:rPr>
          <w:rFonts w:ascii="Calibri" w:eastAsia="Calibri" w:hAnsi="Calibri" w:cs="Arial"/>
          <w:kern w:val="0"/>
          <w:sz w:val="22"/>
          <w:szCs w:val="22"/>
          <w:rtl/>
          <w:lang w:val="en-US"/>
          <w14:ligatures w14:val="none"/>
        </w:rPr>
        <w:t xml:space="preserve"> </w:t>
      </w:r>
      <w:r w:rsidRPr="00BE01BD">
        <w:rPr>
          <w:rFonts w:ascii="Calibri" w:eastAsia="Calibri" w:hAnsi="Calibri" w:cs="Arial"/>
          <w:kern w:val="0"/>
          <w:sz w:val="22"/>
          <w:szCs w:val="22"/>
          <w:lang w:val="en-US"/>
          <w14:ligatures w14:val="none"/>
        </w:rPr>
        <w:t xml:space="preserve">– </w:t>
      </w:r>
      <w:r w:rsidRPr="00BE01BD">
        <w:rPr>
          <w:rFonts w:ascii="Calibri" w:eastAsia="Calibri" w:hAnsi="Calibri" w:cs="Arial"/>
          <w:kern w:val="0"/>
          <w:sz w:val="22"/>
          <w:szCs w:val="22"/>
          <w:rtl/>
          <w:lang w:val="en-US"/>
          <w14:ligatures w14:val="none"/>
        </w:rPr>
        <w:t>הוכחנו כי טרם תחילת העבודות פנה מרשנו לדיירי הבניין, וקיבל את הסכמתם של 6 מתוך 8 בעלי הדירות בכניסתו, שהם 75% מהכניסה, בהתאם להוראות סעיף 71ב(ג) לחוק המקרקעין. עוד הראינו כי ניתן להשלים רוב זה גם באמצעות בעלי דירות בכניסה השנייה, שחלקם כבר הרחיבו את דירותיהם ומכוח החוק נחשבים כמסכימים להרחבות דומות</w:t>
      </w:r>
      <w:r w:rsidRPr="00BE01BD">
        <w:rPr>
          <w:rFonts w:ascii="Calibri" w:eastAsia="Calibri" w:hAnsi="Calibri" w:cs="Arial"/>
          <w:kern w:val="0"/>
          <w:sz w:val="22"/>
          <w:szCs w:val="22"/>
          <w:lang w:val="en-US"/>
          <w14:ligatures w14:val="none"/>
        </w:rPr>
        <w:t>.</w:t>
      </w:r>
    </w:p>
    <w:p w14:paraId="2148E5DB" w14:textId="77777777" w:rsidR="00BE01BD" w:rsidRPr="00BE01BD" w:rsidRDefault="00BE01BD" w:rsidP="00BE01BD">
      <w:pPr>
        <w:numPr>
          <w:ilvl w:val="0"/>
          <w:numId w:val="1"/>
        </w:numPr>
        <w:bidi/>
        <w:spacing w:line="259" w:lineRule="auto"/>
        <w:rPr>
          <w:rFonts w:ascii="Calibri" w:eastAsia="Calibri" w:hAnsi="Calibri" w:cs="Arial"/>
          <w:kern w:val="0"/>
          <w:sz w:val="22"/>
          <w:szCs w:val="22"/>
          <w:lang w:val="en-US"/>
          <w14:ligatures w14:val="none"/>
        </w:rPr>
      </w:pPr>
      <w:r w:rsidRPr="00BE01BD">
        <w:rPr>
          <w:rFonts w:ascii="Calibri" w:eastAsia="Calibri" w:hAnsi="Calibri" w:cs="Arial"/>
          <w:b/>
          <w:bCs/>
          <w:kern w:val="0"/>
          <w:sz w:val="22"/>
          <w:szCs w:val="22"/>
          <w:rtl/>
          <w:lang w:val="en-US"/>
          <w14:ligatures w14:val="none"/>
        </w:rPr>
        <w:t>הליך חוקי לקבלת היתר</w:t>
      </w:r>
      <w:r w:rsidRPr="00BE01BD">
        <w:rPr>
          <w:rFonts w:ascii="Calibri" w:eastAsia="Calibri" w:hAnsi="Calibri" w:cs="Arial"/>
          <w:kern w:val="0"/>
          <w:sz w:val="22"/>
          <w:szCs w:val="22"/>
          <w:rtl/>
          <w:lang w:val="en-US"/>
          <w14:ligatures w14:val="none"/>
        </w:rPr>
        <w:t xml:space="preserve"> </w:t>
      </w:r>
      <w:r w:rsidRPr="00BE01BD">
        <w:rPr>
          <w:rFonts w:ascii="Calibri" w:eastAsia="Calibri" w:hAnsi="Calibri" w:cs="Arial"/>
          <w:kern w:val="0"/>
          <w:sz w:val="22"/>
          <w:szCs w:val="22"/>
          <w:lang w:val="en-US"/>
          <w14:ligatures w14:val="none"/>
        </w:rPr>
        <w:t xml:space="preserve">– </w:t>
      </w:r>
      <w:r w:rsidRPr="00BE01BD">
        <w:rPr>
          <w:rFonts w:ascii="Calibri" w:eastAsia="Calibri" w:hAnsi="Calibri" w:cs="Arial"/>
          <w:kern w:val="0"/>
          <w:sz w:val="22"/>
          <w:szCs w:val="22"/>
          <w:rtl/>
          <w:lang w:val="en-US"/>
          <w14:ligatures w14:val="none"/>
        </w:rPr>
        <w:t>מרשנו פועל במקביל לקבלת היתר בנייה מסודר מול הוועדה המקומית, והעבודות אינן פרי פעולה חד-צדדית ובלתי מוסכמת כפי שטענו התובעים</w:t>
      </w:r>
      <w:r w:rsidRPr="00BE01BD">
        <w:rPr>
          <w:rFonts w:ascii="Calibri" w:eastAsia="Calibri" w:hAnsi="Calibri" w:cs="Arial"/>
          <w:kern w:val="0"/>
          <w:sz w:val="22"/>
          <w:szCs w:val="22"/>
          <w:lang w:val="en-US"/>
          <w14:ligatures w14:val="none"/>
        </w:rPr>
        <w:t>.</w:t>
      </w:r>
    </w:p>
    <w:p w14:paraId="04A6BA16" w14:textId="77777777" w:rsidR="00BE01BD" w:rsidRPr="00BE01BD" w:rsidRDefault="00BE01BD" w:rsidP="00BE01BD">
      <w:pPr>
        <w:numPr>
          <w:ilvl w:val="0"/>
          <w:numId w:val="1"/>
        </w:numPr>
        <w:bidi/>
        <w:spacing w:line="259" w:lineRule="auto"/>
        <w:rPr>
          <w:rFonts w:ascii="Calibri" w:eastAsia="Calibri" w:hAnsi="Calibri" w:cs="Arial"/>
          <w:kern w:val="0"/>
          <w:sz w:val="22"/>
          <w:szCs w:val="22"/>
          <w:lang w:val="en-US"/>
          <w14:ligatures w14:val="none"/>
        </w:rPr>
      </w:pPr>
      <w:r w:rsidRPr="00BE01BD">
        <w:rPr>
          <w:rFonts w:ascii="Calibri" w:eastAsia="Calibri" w:hAnsi="Calibri" w:cs="Arial"/>
          <w:b/>
          <w:bCs/>
          <w:kern w:val="0"/>
          <w:sz w:val="22"/>
          <w:szCs w:val="22"/>
          <w:rtl/>
          <w:lang w:val="en-US"/>
          <w14:ligatures w14:val="none"/>
        </w:rPr>
        <w:t>המקלט</w:t>
      </w:r>
      <w:r w:rsidRPr="00BE01BD">
        <w:rPr>
          <w:rFonts w:ascii="Calibri" w:eastAsia="Calibri" w:hAnsi="Calibri" w:cs="Arial"/>
          <w:kern w:val="0"/>
          <w:sz w:val="22"/>
          <w:szCs w:val="22"/>
          <w:rtl/>
          <w:lang w:val="en-US"/>
          <w14:ligatures w14:val="none"/>
        </w:rPr>
        <w:t xml:space="preserve"> </w:t>
      </w:r>
      <w:r w:rsidRPr="00BE01BD">
        <w:rPr>
          <w:rFonts w:ascii="Calibri" w:eastAsia="Calibri" w:hAnsi="Calibri" w:cs="Arial"/>
          <w:kern w:val="0"/>
          <w:sz w:val="22"/>
          <w:szCs w:val="22"/>
          <w:lang w:val="en-US"/>
          <w14:ligatures w14:val="none"/>
        </w:rPr>
        <w:t xml:space="preserve">– </w:t>
      </w:r>
      <w:r w:rsidRPr="00BE01BD">
        <w:rPr>
          <w:rFonts w:ascii="Calibri" w:eastAsia="Calibri" w:hAnsi="Calibri" w:cs="Arial"/>
          <w:kern w:val="0"/>
          <w:sz w:val="22"/>
          <w:szCs w:val="22"/>
          <w:rtl/>
          <w:lang w:val="en-US"/>
          <w14:ligatures w14:val="none"/>
        </w:rPr>
        <w:t>הדגשנו כי המקלט נשאר פתוח לשימוש כלל הדיירים, מרשנו שיפץ אותו על חשבונו לטובת הבניין, והמפתח נמסר לכל המעוניינים. טענות על חסימת גישה או שימוש פרטי הופרכו באמצעות תיעוד והצהרות שכנים</w:t>
      </w:r>
      <w:r w:rsidRPr="00BE01BD">
        <w:rPr>
          <w:rFonts w:ascii="Calibri" w:eastAsia="Calibri" w:hAnsi="Calibri" w:cs="Arial"/>
          <w:kern w:val="0"/>
          <w:sz w:val="22"/>
          <w:szCs w:val="22"/>
          <w:lang w:val="en-US"/>
          <w14:ligatures w14:val="none"/>
        </w:rPr>
        <w:t>.</w:t>
      </w:r>
    </w:p>
    <w:p w14:paraId="0B3D81F6" w14:textId="77777777" w:rsidR="00BE01BD" w:rsidRPr="00BE01BD" w:rsidRDefault="00BE01BD" w:rsidP="00BE01BD">
      <w:pPr>
        <w:numPr>
          <w:ilvl w:val="0"/>
          <w:numId w:val="1"/>
        </w:numPr>
        <w:bidi/>
        <w:spacing w:line="259" w:lineRule="auto"/>
        <w:rPr>
          <w:rFonts w:ascii="Calibri" w:eastAsia="Calibri" w:hAnsi="Calibri" w:cs="Arial"/>
          <w:kern w:val="0"/>
          <w:sz w:val="22"/>
          <w:szCs w:val="22"/>
          <w:lang w:val="en-US"/>
          <w14:ligatures w14:val="none"/>
        </w:rPr>
      </w:pPr>
      <w:r w:rsidRPr="00BE01BD">
        <w:rPr>
          <w:rFonts w:ascii="Calibri" w:eastAsia="Calibri" w:hAnsi="Calibri" w:cs="Arial"/>
          <w:b/>
          <w:bCs/>
          <w:kern w:val="0"/>
          <w:sz w:val="22"/>
          <w:szCs w:val="22"/>
          <w:rtl/>
          <w:lang w:val="en-US"/>
          <w14:ligatures w14:val="none"/>
        </w:rPr>
        <w:t>הפרגולה</w:t>
      </w:r>
      <w:r w:rsidRPr="00BE01BD">
        <w:rPr>
          <w:rFonts w:ascii="Calibri" w:eastAsia="Calibri" w:hAnsi="Calibri" w:cs="Arial"/>
          <w:kern w:val="0"/>
          <w:sz w:val="22"/>
          <w:szCs w:val="22"/>
          <w:rtl/>
          <w:lang w:val="en-US"/>
          <w14:ligatures w14:val="none"/>
        </w:rPr>
        <w:t xml:space="preserve"> </w:t>
      </w:r>
      <w:r w:rsidRPr="00BE01BD">
        <w:rPr>
          <w:rFonts w:ascii="Calibri" w:eastAsia="Calibri" w:hAnsi="Calibri" w:cs="Arial"/>
          <w:kern w:val="0"/>
          <w:sz w:val="22"/>
          <w:szCs w:val="22"/>
          <w:lang w:val="en-US"/>
          <w14:ligatures w14:val="none"/>
        </w:rPr>
        <w:t xml:space="preserve">– </w:t>
      </w:r>
      <w:r w:rsidRPr="00BE01BD">
        <w:rPr>
          <w:rFonts w:ascii="Calibri" w:eastAsia="Calibri" w:hAnsi="Calibri" w:cs="Arial"/>
          <w:kern w:val="0"/>
          <w:sz w:val="22"/>
          <w:szCs w:val="22"/>
          <w:rtl/>
          <w:lang w:val="en-US"/>
          <w14:ligatures w14:val="none"/>
        </w:rPr>
        <w:t>הבהרנו כי אינה בנויה על קיר השייך לתובעת, אלא מתחת למבנה שבבעלותה, ובתחום הצמוד למרשנו</w:t>
      </w:r>
      <w:r w:rsidRPr="00BE01BD">
        <w:rPr>
          <w:rFonts w:ascii="Calibri" w:eastAsia="Calibri" w:hAnsi="Calibri" w:cs="Arial"/>
          <w:kern w:val="0"/>
          <w:sz w:val="22"/>
          <w:szCs w:val="22"/>
          <w:lang w:val="en-US"/>
          <w14:ligatures w14:val="none"/>
        </w:rPr>
        <w:t>.</w:t>
      </w:r>
    </w:p>
    <w:p w14:paraId="51AF7509" w14:textId="77777777" w:rsidR="00BE01BD" w:rsidRPr="00BE01BD" w:rsidRDefault="00BE01BD" w:rsidP="00BE01BD">
      <w:pPr>
        <w:numPr>
          <w:ilvl w:val="0"/>
          <w:numId w:val="1"/>
        </w:numPr>
        <w:bidi/>
        <w:spacing w:line="259" w:lineRule="auto"/>
        <w:rPr>
          <w:rFonts w:ascii="Calibri" w:eastAsia="Calibri" w:hAnsi="Calibri" w:cs="Arial"/>
          <w:kern w:val="0"/>
          <w:sz w:val="22"/>
          <w:szCs w:val="22"/>
          <w:lang w:val="en-US"/>
          <w14:ligatures w14:val="none"/>
        </w:rPr>
      </w:pPr>
      <w:r w:rsidRPr="00BE01BD">
        <w:rPr>
          <w:rFonts w:ascii="Calibri" w:eastAsia="Calibri" w:hAnsi="Calibri" w:cs="Arial"/>
          <w:b/>
          <w:bCs/>
          <w:kern w:val="0"/>
          <w:sz w:val="22"/>
          <w:szCs w:val="22"/>
          <w:rtl/>
          <w:lang w:val="en-US"/>
          <w14:ligatures w14:val="none"/>
        </w:rPr>
        <w:t>היעדר פגיעה ממשית</w:t>
      </w:r>
      <w:r w:rsidRPr="00BE01BD">
        <w:rPr>
          <w:rFonts w:ascii="Calibri" w:eastAsia="Calibri" w:hAnsi="Calibri" w:cs="Arial"/>
          <w:kern w:val="0"/>
          <w:sz w:val="22"/>
          <w:szCs w:val="22"/>
          <w:rtl/>
          <w:lang w:val="en-US"/>
          <w14:ligatures w14:val="none"/>
        </w:rPr>
        <w:t xml:space="preserve"> </w:t>
      </w:r>
      <w:r w:rsidRPr="00BE01BD">
        <w:rPr>
          <w:rFonts w:ascii="Calibri" w:eastAsia="Calibri" w:hAnsi="Calibri" w:cs="Arial"/>
          <w:kern w:val="0"/>
          <w:sz w:val="22"/>
          <w:szCs w:val="22"/>
          <w:lang w:val="en-US"/>
          <w14:ligatures w14:val="none"/>
        </w:rPr>
        <w:t xml:space="preserve">– </w:t>
      </w:r>
      <w:r w:rsidRPr="00BE01BD">
        <w:rPr>
          <w:rFonts w:ascii="Calibri" w:eastAsia="Calibri" w:hAnsi="Calibri" w:cs="Arial"/>
          <w:kern w:val="0"/>
          <w:sz w:val="22"/>
          <w:szCs w:val="22"/>
          <w:rtl/>
          <w:lang w:val="en-US"/>
          <w14:ligatures w14:val="none"/>
        </w:rPr>
        <w:t>הצגנו כי השימוש בשטחים הנטענים כ"פלושים" אינו פוגע בשימושם הסביר של יתר בעלי הדירות, ואף שיפר את חזות ואיכות הסביבה המשותפת</w:t>
      </w:r>
      <w:r w:rsidRPr="00BE01BD">
        <w:rPr>
          <w:rFonts w:ascii="Calibri" w:eastAsia="Calibri" w:hAnsi="Calibri" w:cs="Arial"/>
          <w:kern w:val="0"/>
          <w:sz w:val="22"/>
          <w:szCs w:val="22"/>
          <w:lang w:val="en-US"/>
          <w14:ligatures w14:val="none"/>
        </w:rPr>
        <w:t>.</w:t>
      </w:r>
    </w:p>
    <w:p w14:paraId="5329BCB9" w14:textId="77777777" w:rsidR="00BE01BD" w:rsidRPr="00BE01BD" w:rsidRDefault="00BE01BD" w:rsidP="00BE01BD">
      <w:pPr>
        <w:bidi/>
        <w:spacing w:line="259" w:lineRule="auto"/>
        <w:rPr>
          <w:rFonts w:ascii="Calibri" w:eastAsia="Calibri" w:hAnsi="Calibri" w:cs="Arial"/>
          <w:kern w:val="0"/>
          <w:sz w:val="22"/>
          <w:szCs w:val="22"/>
          <w:lang w:val="en-US"/>
          <w14:ligatures w14:val="none"/>
        </w:rPr>
      </w:pPr>
      <w:r w:rsidRPr="00BE01BD">
        <w:rPr>
          <w:rFonts w:ascii="Calibri" w:eastAsia="Calibri" w:hAnsi="Calibri" w:cs="Arial"/>
          <w:kern w:val="0"/>
          <w:sz w:val="22"/>
          <w:szCs w:val="22"/>
          <w:rtl/>
          <w:lang w:val="en-US"/>
          <w14:ligatures w14:val="none"/>
        </w:rPr>
        <w:t>באמצעות ניתוח משפטי מבוסס חוק המקרקעין ופסיקה עדכנית, הצלחנו למקד את הדיון בזכותו של מרשנו להרחיב את דירתו בתמיכת רוב הדיירים ובהליך חוקי, ולהראות כי חלק ניכר מהטענות שהועלו הן סכסוכים שכונתיים ישנים במסווה של טענות קנייניות</w:t>
      </w:r>
      <w:r w:rsidRPr="00BE01BD">
        <w:rPr>
          <w:rFonts w:ascii="Calibri" w:eastAsia="Calibri" w:hAnsi="Calibri" w:cs="Arial"/>
          <w:kern w:val="0"/>
          <w:sz w:val="22"/>
          <w:szCs w:val="22"/>
          <w:lang w:val="en-US"/>
          <w14:ligatures w14:val="none"/>
        </w:rPr>
        <w:t>.</w:t>
      </w:r>
    </w:p>
    <w:p w14:paraId="0339F8FA" w14:textId="77777777" w:rsidR="00BE01BD" w:rsidRPr="00BE01BD" w:rsidRDefault="00BE01BD" w:rsidP="00BE01BD">
      <w:pPr>
        <w:bidi/>
        <w:spacing w:line="259" w:lineRule="auto"/>
        <w:rPr>
          <w:rFonts w:ascii="Calibri" w:eastAsia="Calibri" w:hAnsi="Calibri" w:cs="Arial"/>
          <w:kern w:val="0"/>
          <w:sz w:val="22"/>
          <w:szCs w:val="22"/>
          <w:lang w:val="en-US"/>
          <w14:ligatures w14:val="none"/>
        </w:rPr>
      </w:pPr>
      <w:r w:rsidRPr="00BE01BD">
        <w:rPr>
          <w:rFonts w:ascii="Calibri" w:eastAsia="Calibri" w:hAnsi="Calibri" w:cs="Arial"/>
          <w:kern w:val="0"/>
          <w:sz w:val="22"/>
          <w:szCs w:val="22"/>
          <w:rtl/>
          <w:lang w:val="en-US"/>
          <w14:ligatures w14:val="none"/>
        </w:rPr>
        <w:t>הייצוג המדויק מנע צעדי אכיפה מיידיים, שמר על זכויות הבנייה של מרשנו, והותיר בידיו את האפשרות להשלים את ההרחבה והפיתוח בהתאם להיתר הצפוי</w:t>
      </w:r>
      <w:r w:rsidRPr="00BE01BD">
        <w:rPr>
          <w:rFonts w:ascii="Calibri" w:eastAsia="Calibri" w:hAnsi="Calibri" w:cs="Arial"/>
          <w:kern w:val="0"/>
          <w:sz w:val="22"/>
          <w:szCs w:val="22"/>
          <w:lang w:val="en-US"/>
          <w14:ligatures w14:val="none"/>
        </w:rPr>
        <w:t>.</w:t>
      </w:r>
    </w:p>
    <w:p w14:paraId="5FE0BD1F" w14:textId="77777777" w:rsidR="00BE01BD" w:rsidRPr="00BE01BD" w:rsidRDefault="00BE01BD">
      <w:pPr>
        <w:rPr>
          <w:lang w:val="en-US"/>
        </w:rPr>
      </w:pPr>
    </w:p>
    <w:sectPr w:rsidR="00BE01BD" w:rsidRPr="00BE0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A3796"/>
    <w:multiLevelType w:val="multilevel"/>
    <w:tmpl w:val="515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94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BD"/>
    <w:rsid w:val="00BE01BD"/>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18A3"/>
  <w15:chartTrackingRefBased/>
  <w15:docId w15:val="{8443A741-1850-4C34-8C9F-4558433F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1BD"/>
    <w:rPr>
      <w:rFonts w:eastAsiaTheme="majorEastAsia" w:cstheme="majorBidi"/>
      <w:color w:val="272727" w:themeColor="text1" w:themeTint="D8"/>
    </w:rPr>
  </w:style>
  <w:style w:type="paragraph" w:styleId="Title">
    <w:name w:val="Title"/>
    <w:basedOn w:val="Normal"/>
    <w:next w:val="Normal"/>
    <w:link w:val="TitleChar"/>
    <w:uiPriority w:val="10"/>
    <w:qFormat/>
    <w:rsid w:val="00BE0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1BD"/>
    <w:pPr>
      <w:spacing w:before="160"/>
      <w:jc w:val="center"/>
    </w:pPr>
    <w:rPr>
      <w:i/>
      <w:iCs/>
      <w:color w:val="404040" w:themeColor="text1" w:themeTint="BF"/>
    </w:rPr>
  </w:style>
  <w:style w:type="character" w:customStyle="1" w:styleId="QuoteChar">
    <w:name w:val="Quote Char"/>
    <w:basedOn w:val="DefaultParagraphFont"/>
    <w:link w:val="Quote"/>
    <w:uiPriority w:val="29"/>
    <w:rsid w:val="00BE01BD"/>
    <w:rPr>
      <w:i/>
      <w:iCs/>
      <w:color w:val="404040" w:themeColor="text1" w:themeTint="BF"/>
    </w:rPr>
  </w:style>
  <w:style w:type="paragraph" w:styleId="ListParagraph">
    <w:name w:val="List Paragraph"/>
    <w:basedOn w:val="Normal"/>
    <w:uiPriority w:val="34"/>
    <w:qFormat/>
    <w:rsid w:val="00BE01BD"/>
    <w:pPr>
      <w:ind w:left="720"/>
      <w:contextualSpacing/>
    </w:pPr>
  </w:style>
  <w:style w:type="character" w:styleId="IntenseEmphasis">
    <w:name w:val="Intense Emphasis"/>
    <w:basedOn w:val="DefaultParagraphFont"/>
    <w:uiPriority w:val="21"/>
    <w:qFormat/>
    <w:rsid w:val="00BE01BD"/>
    <w:rPr>
      <w:i/>
      <w:iCs/>
      <w:color w:val="0F4761" w:themeColor="accent1" w:themeShade="BF"/>
    </w:rPr>
  </w:style>
  <w:style w:type="paragraph" w:styleId="IntenseQuote">
    <w:name w:val="Intense Quote"/>
    <w:basedOn w:val="Normal"/>
    <w:next w:val="Normal"/>
    <w:link w:val="IntenseQuoteChar"/>
    <w:uiPriority w:val="30"/>
    <w:qFormat/>
    <w:rsid w:val="00BE0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1BD"/>
    <w:rPr>
      <w:i/>
      <w:iCs/>
      <w:color w:val="0F4761" w:themeColor="accent1" w:themeShade="BF"/>
    </w:rPr>
  </w:style>
  <w:style w:type="character" w:styleId="IntenseReference">
    <w:name w:val="Intense Reference"/>
    <w:basedOn w:val="DefaultParagraphFont"/>
    <w:uiPriority w:val="32"/>
    <w:qFormat/>
    <w:rsid w:val="00BE01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2025-09-03T08:23:00Z</dcterms:created>
  <dcterms:modified xsi:type="dcterms:W3CDTF">2025-09-03T08:24:00Z</dcterms:modified>
</cp:coreProperties>
</file>