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90D59" w14:textId="77777777" w:rsidR="00AE03DB" w:rsidRPr="00AE03DB" w:rsidRDefault="00AE03DB" w:rsidP="00AE03DB">
      <w:pPr>
        <w:bidi/>
        <w:spacing w:line="259" w:lineRule="auto"/>
        <w:rPr>
          <w:rFonts w:ascii="Calibri" w:eastAsia="Calibri" w:hAnsi="Calibri" w:cs="Arial"/>
          <w:b/>
          <w:bCs/>
          <w:kern w:val="0"/>
          <w:sz w:val="22"/>
          <w:szCs w:val="22"/>
          <w:lang w:val="en-US"/>
          <w14:ligatures w14:val="none"/>
        </w:rPr>
      </w:pPr>
      <w:r w:rsidRPr="00AE03DB">
        <w:rPr>
          <w:rFonts w:ascii="Calibri" w:eastAsia="Calibri" w:hAnsi="Calibri" w:cs="Arial"/>
          <w:b/>
          <w:bCs/>
          <w:kern w:val="0"/>
          <w:sz w:val="22"/>
          <w:szCs w:val="22"/>
          <w:rtl/>
          <w:lang w:val="en-US"/>
          <w14:ligatures w14:val="none"/>
        </w:rPr>
        <w:t>נושא</w:t>
      </w:r>
      <w:r w:rsidRPr="00AE03DB">
        <w:rPr>
          <w:rFonts w:ascii="Calibri" w:eastAsia="Calibri" w:hAnsi="Calibri" w:cs="Arial"/>
          <w:b/>
          <w:bCs/>
          <w:kern w:val="0"/>
          <w:sz w:val="22"/>
          <w:szCs w:val="22"/>
          <w:lang w:val="en-US"/>
          <w14:ligatures w14:val="none"/>
        </w:rPr>
        <w:t>:</w:t>
      </w:r>
      <w:r w:rsidRPr="00AE03DB">
        <w:rPr>
          <w:rFonts w:ascii="Calibri" w:eastAsia="Calibri" w:hAnsi="Calibri" w:cs="Arial" w:hint="cs"/>
          <w:b/>
          <w:bCs/>
          <w:kern w:val="0"/>
          <w:sz w:val="22"/>
          <w:szCs w:val="22"/>
          <w:rtl/>
          <w:lang w:val="en-US"/>
          <w14:ligatures w14:val="none"/>
        </w:rPr>
        <w:t xml:space="preserve"> </w:t>
      </w:r>
      <w:r w:rsidRPr="00AE03DB">
        <w:rPr>
          <w:rFonts w:ascii="Calibri" w:eastAsia="Calibri" w:hAnsi="Calibri" w:cs="Arial"/>
          <w:b/>
          <w:bCs/>
          <w:kern w:val="0"/>
          <w:sz w:val="22"/>
          <w:szCs w:val="22"/>
          <w:rtl/>
          <w:lang w:val="en-US"/>
          <w14:ligatures w14:val="none"/>
        </w:rPr>
        <w:t>הגנה מפני תביעה לצו מניעה – התקנת עמדת טעינה לרכב חשמלי בחניה הצמודה לדירה</w:t>
      </w:r>
      <w:r w:rsidRPr="00AE03DB">
        <w:rPr>
          <w:rFonts w:ascii="Calibri" w:eastAsia="Calibri" w:hAnsi="Calibri" w:cs="Arial"/>
          <w:b/>
          <w:bCs/>
          <w:kern w:val="0"/>
          <w:sz w:val="22"/>
          <w:szCs w:val="22"/>
          <w:lang w:val="en-US"/>
          <w14:ligatures w14:val="none"/>
        </w:rPr>
        <w:t>.</w:t>
      </w:r>
    </w:p>
    <w:p w14:paraId="08E1C369" w14:textId="77777777" w:rsidR="00AE03DB" w:rsidRPr="00AE03DB" w:rsidRDefault="00AE03DB" w:rsidP="00AE03DB">
      <w:pPr>
        <w:bidi/>
        <w:spacing w:line="259" w:lineRule="auto"/>
        <w:rPr>
          <w:rFonts w:ascii="Calibri" w:eastAsia="Calibri" w:hAnsi="Calibri" w:cs="Arial"/>
          <w:kern w:val="0"/>
          <w:sz w:val="22"/>
          <w:szCs w:val="22"/>
          <w:lang w:val="en-US"/>
          <w14:ligatures w14:val="none"/>
        </w:rPr>
      </w:pPr>
      <w:r w:rsidRPr="00AE03DB">
        <w:rPr>
          <w:rFonts w:ascii="Calibri" w:eastAsia="Calibri" w:hAnsi="Calibri" w:cs="Arial"/>
          <w:b/>
          <w:bCs/>
          <w:kern w:val="0"/>
          <w:sz w:val="22"/>
          <w:szCs w:val="22"/>
          <w:rtl/>
          <w:lang w:val="en-US"/>
          <w14:ligatures w14:val="none"/>
        </w:rPr>
        <w:t>סיפור הצלחה</w:t>
      </w:r>
      <w:r w:rsidRPr="00AE03DB">
        <w:rPr>
          <w:rFonts w:ascii="Calibri" w:eastAsia="Calibri" w:hAnsi="Calibri" w:cs="Arial"/>
          <w:b/>
          <w:bCs/>
          <w:kern w:val="0"/>
          <w:sz w:val="22"/>
          <w:szCs w:val="22"/>
          <w:lang w:val="en-US"/>
          <w14:ligatures w14:val="none"/>
        </w:rPr>
        <w:t>:</w:t>
      </w:r>
      <w:r w:rsidRPr="00AE03DB">
        <w:rPr>
          <w:rFonts w:ascii="Calibri" w:eastAsia="Calibri" w:hAnsi="Calibri" w:cs="Arial"/>
          <w:kern w:val="0"/>
          <w:sz w:val="22"/>
          <w:szCs w:val="22"/>
          <w:lang w:val="en-US"/>
          <w14:ligatures w14:val="none"/>
        </w:rPr>
        <w:br/>
      </w:r>
      <w:r w:rsidRPr="00AE03DB">
        <w:rPr>
          <w:rFonts w:ascii="Calibri" w:eastAsia="Calibri" w:hAnsi="Calibri" w:cs="Arial"/>
          <w:kern w:val="0"/>
          <w:sz w:val="22"/>
          <w:szCs w:val="22"/>
          <w:rtl/>
          <w:lang w:val="en-US"/>
          <w14:ligatures w14:val="none"/>
        </w:rPr>
        <w:t>משרדנו ייצג בני זוג, בעלי דירה עם חניה צמודה בבית משותף, שנדרשו להגן על זכותם להתקין עמדת טעינה לרכבם החשמלי – תשתית פרטית בשטח הצמוד להם – לאחר שהתובעת, בעלת מספר דירות בבניין ובני משפחתה, הגישה תביעה למתן צו מניעה קבוע שיאסור על ההתקנה</w:t>
      </w:r>
      <w:r w:rsidRPr="00AE03DB">
        <w:rPr>
          <w:rFonts w:ascii="Calibri" w:eastAsia="Calibri" w:hAnsi="Calibri" w:cs="Arial"/>
          <w:kern w:val="0"/>
          <w:sz w:val="22"/>
          <w:szCs w:val="22"/>
          <w:lang w:val="en-US"/>
          <w14:ligatures w14:val="none"/>
        </w:rPr>
        <w:t>.</w:t>
      </w:r>
    </w:p>
    <w:p w14:paraId="58124FD6" w14:textId="77777777" w:rsidR="00AE03DB" w:rsidRPr="00AE03DB" w:rsidRDefault="00AE03DB" w:rsidP="00AE03DB">
      <w:pPr>
        <w:bidi/>
        <w:spacing w:line="259" w:lineRule="auto"/>
        <w:rPr>
          <w:rFonts w:ascii="Calibri" w:eastAsia="Calibri" w:hAnsi="Calibri" w:cs="Arial"/>
          <w:kern w:val="0"/>
          <w:sz w:val="22"/>
          <w:szCs w:val="22"/>
          <w:lang w:val="en-US"/>
          <w14:ligatures w14:val="none"/>
        </w:rPr>
      </w:pPr>
      <w:r w:rsidRPr="00AE03DB">
        <w:rPr>
          <w:rFonts w:ascii="Calibri" w:eastAsia="Calibri" w:hAnsi="Calibri" w:cs="Arial"/>
          <w:kern w:val="0"/>
          <w:sz w:val="22"/>
          <w:szCs w:val="22"/>
          <w:rtl/>
          <w:lang w:val="en-US"/>
          <w14:ligatures w14:val="none"/>
        </w:rPr>
        <w:t>הטענות נגד מרשינו כללו טענות קנייניות ובטיחותיות, בהן: פגיעה לכאורה ברכוש המשותף, פגיעה בשווי הדירות, והפרת התקנון המוסכם. בנוסף, נטען כי עצם העברת תשתית החשמל דרך שביל המהווה רכוש משותף מהווה שימוש אסור, וכי הקרבה לחלון דירת התובעת יוצרת סיכון בטיחותי</w:t>
      </w:r>
      <w:r w:rsidRPr="00AE03DB">
        <w:rPr>
          <w:rFonts w:ascii="Calibri" w:eastAsia="Calibri" w:hAnsi="Calibri" w:cs="Arial"/>
          <w:kern w:val="0"/>
          <w:sz w:val="22"/>
          <w:szCs w:val="22"/>
          <w:lang w:val="en-US"/>
          <w14:ligatures w14:val="none"/>
        </w:rPr>
        <w:t>.</w:t>
      </w:r>
    </w:p>
    <w:p w14:paraId="518DA387" w14:textId="77777777" w:rsidR="00AE03DB" w:rsidRPr="00AE03DB" w:rsidRDefault="00AE03DB" w:rsidP="00AE03DB">
      <w:pPr>
        <w:bidi/>
        <w:spacing w:line="259" w:lineRule="auto"/>
        <w:rPr>
          <w:rFonts w:ascii="Calibri" w:eastAsia="Calibri" w:hAnsi="Calibri" w:cs="Arial"/>
          <w:kern w:val="0"/>
          <w:sz w:val="22"/>
          <w:szCs w:val="22"/>
          <w:lang w:val="en-US"/>
          <w14:ligatures w14:val="none"/>
        </w:rPr>
      </w:pPr>
      <w:r w:rsidRPr="00AE03DB">
        <w:rPr>
          <w:rFonts w:ascii="Calibri" w:eastAsia="Calibri" w:hAnsi="Calibri" w:cs="Arial"/>
          <w:kern w:val="0"/>
          <w:sz w:val="22"/>
          <w:szCs w:val="22"/>
          <w:rtl/>
          <w:lang w:val="en-US"/>
          <w14:ligatures w14:val="none"/>
        </w:rPr>
        <w:t>בכתב ההגנה שהגשנו הראינו כי</w:t>
      </w:r>
      <w:r w:rsidRPr="00AE03DB">
        <w:rPr>
          <w:rFonts w:ascii="Calibri" w:eastAsia="Calibri" w:hAnsi="Calibri" w:cs="Arial"/>
          <w:kern w:val="0"/>
          <w:sz w:val="22"/>
          <w:szCs w:val="22"/>
          <w:lang w:val="en-US"/>
          <w14:ligatures w14:val="none"/>
        </w:rPr>
        <w:t>:</w:t>
      </w:r>
    </w:p>
    <w:p w14:paraId="41C74344" w14:textId="77777777" w:rsidR="00AE03DB" w:rsidRPr="00AE03DB" w:rsidRDefault="00AE03DB" w:rsidP="00AE03DB">
      <w:pPr>
        <w:numPr>
          <w:ilvl w:val="0"/>
          <w:numId w:val="1"/>
        </w:numPr>
        <w:bidi/>
        <w:spacing w:line="259" w:lineRule="auto"/>
        <w:rPr>
          <w:rFonts w:ascii="Calibri" w:eastAsia="Calibri" w:hAnsi="Calibri" w:cs="Arial"/>
          <w:kern w:val="0"/>
          <w:sz w:val="22"/>
          <w:szCs w:val="22"/>
          <w:lang w:val="en-US"/>
          <w14:ligatures w14:val="none"/>
        </w:rPr>
      </w:pPr>
      <w:r w:rsidRPr="00AE03DB">
        <w:rPr>
          <w:rFonts w:ascii="Calibri" w:eastAsia="Calibri" w:hAnsi="Calibri" w:cs="Arial"/>
          <w:b/>
          <w:bCs/>
          <w:kern w:val="0"/>
          <w:sz w:val="22"/>
          <w:szCs w:val="22"/>
          <w:rtl/>
          <w:lang w:val="en-US"/>
          <w14:ligatures w14:val="none"/>
        </w:rPr>
        <w:t>החניה הצמודה</w:t>
      </w:r>
      <w:r w:rsidRPr="00AE03DB">
        <w:rPr>
          <w:rFonts w:ascii="Calibri" w:eastAsia="Calibri" w:hAnsi="Calibri" w:cs="Arial"/>
          <w:kern w:val="0"/>
          <w:sz w:val="22"/>
          <w:szCs w:val="22"/>
          <w:rtl/>
          <w:lang w:val="en-US"/>
          <w14:ligatures w14:val="none"/>
        </w:rPr>
        <w:t xml:space="preserve"> </w:t>
      </w:r>
      <w:r w:rsidRPr="00AE03DB">
        <w:rPr>
          <w:rFonts w:ascii="Calibri" w:eastAsia="Calibri" w:hAnsi="Calibri" w:cs="Arial"/>
          <w:kern w:val="0"/>
          <w:sz w:val="22"/>
          <w:szCs w:val="22"/>
          <w:lang w:val="en-US"/>
          <w14:ligatures w14:val="none"/>
        </w:rPr>
        <w:t xml:space="preserve">– </w:t>
      </w:r>
      <w:r w:rsidRPr="00AE03DB">
        <w:rPr>
          <w:rFonts w:ascii="Calibri" w:eastAsia="Calibri" w:hAnsi="Calibri" w:cs="Arial"/>
          <w:kern w:val="0"/>
          <w:sz w:val="22"/>
          <w:szCs w:val="22"/>
          <w:rtl/>
          <w:lang w:val="en-US"/>
          <w14:ligatures w14:val="none"/>
        </w:rPr>
        <w:t xml:space="preserve">רשומה ומסומנת </w:t>
      </w:r>
      <w:proofErr w:type="spellStart"/>
      <w:r w:rsidRPr="00AE03DB">
        <w:rPr>
          <w:rFonts w:ascii="Calibri" w:eastAsia="Calibri" w:hAnsi="Calibri" w:cs="Arial"/>
          <w:kern w:val="0"/>
          <w:sz w:val="22"/>
          <w:szCs w:val="22"/>
          <w:rtl/>
          <w:lang w:val="en-US"/>
          <w14:ligatures w14:val="none"/>
        </w:rPr>
        <w:t>בתשריט</w:t>
      </w:r>
      <w:proofErr w:type="spellEnd"/>
      <w:r w:rsidRPr="00AE03DB">
        <w:rPr>
          <w:rFonts w:ascii="Calibri" w:eastAsia="Calibri" w:hAnsi="Calibri" w:cs="Arial"/>
          <w:kern w:val="0"/>
          <w:sz w:val="22"/>
          <w:szCs w:val="22"/>
          <w:rtl/>
          <w:lang w:val="en-US"/>
          <w14:ligatures w14:val="none"/>
        </w:rPr>
        <w:t xml:space="preserve"> הבית המשותף כרכוש הצמוד למרשינו, ולכן זכותם המלאה להתקין בה עמדת טעינה</w:t>
      </w:r>
      <w:r w:rsidRPr="00AE03DB">
        <w:rPr>
          <w:rFonts w:ascii="Calibri" w:eastAsia="Calibri" w:hAnsi="Calibri" w:cs="Arial"/>
          <w:kern w:val="0"/>
          <w:sz w:val="22"/>
          <w:szCs w:val="22"/>
          <w:lang w:val="en-US"/>
          <w14:ligatures w14:val="none"/>
        </w:rPr>
        <w:t>.</w:t>
      </w:r>
    </w:p>
    <w:p w14:paraId="146C5DA6" w14:textId="77777777" w:rsidR="00AE03DB" w:rsidRPr="00AE03DB" w:rsidRDefault="00AE03DB" w:rsidP="00AE03DB">
      <w:pPr>
        <w:numPr>
          <w:ilvl w:val="0"/>
          <w:numId w:val="1"/>
        </w:numPr>
        <w:bidi/>
        <w:spacing w:line="259" w:lineRule="auto"/>
        <w:rPr>
          <w:rFonts w:ascii="Calibri" w:eastAsia="Calibri" w:hAnsi="Calibri" w:cs="Arial"/>
          <w:kern w:val="0"/>
          <w:sz w:val="22"/>
          <w:szCs w:val="22"/>
          <w:lang w:val="en-US"/>
          <w14:ligatures w14:val="none"/>
        </w:rPr>
      </w:pPr>
      <w:r w:rsidRPr="00AE03DB">
        <w:rPr>
          <w:rFonts w:ascii="Calibri" w:eastAsia="Calibri" w:hAnsi="Calibri" w:cs="Arial"/>
          <w:b/>
          <w:bCs/>
          <w:kern w:val="0"/>
          <w:sz w:val="22"/>
          <w:szCs w:val="22"/>
          <w:rtl/>
          <w:lang w:val="en-US"/>
          <w14:ligatures w14:val="none"/>
        </w:rPr>
        <w:t>תשתית החשמל</w:t>
      </w:r>
      <w:r w:rsidRPr="00AE03DB">
        <w:rPr>
          <w:rFonts w:ascii="Calibri" w:eastAsia="Calibri" w:hAnsi="Calibri" w:cs="Arial"/>
          <w:kern w:val="0"/>
          <w:sz w:val="22"/>
          <w:szCs w:val="22"/>
          <w:rtl/>
          <w:lang w:val="en-US"/>
          <w14:ligatures w14:val="none"/>
        </w:rPr>
        <w:t xml:space="preserve"> </w:t>
      </w:r>
      <w:r w:rsidRPr="00AE03DB">
        <w:rPr>
          <w:rFonts w:ascii="Calibri" w:eastAsia="Calibri" w:hAnsi="Calibri" w:cs="Arial"/>
          <w:kern w:val="0"/>
          <w:sz w:val="22"/>
          <w:szCs w:val="22"/>
          <w:lang w:val="en-US"/>
          <w14:ligatures w14:val="none"/>
        </w:rPr>
        <w:t xml:space="preserve">– </w:t>
      </w:r>
      <w:r w:rsidRPr="00AE03DB">
        <w:rPr>
          <w:rFonts w:ascii="Calibri" w:eastAsia="Calibri" w:hAnsi="Calibri" w:cs="Arial"/>
          <w:kern w:val="0"/>
          <w:sz w:val="22"/>
          <w:szCs w:val="22"/>
          <w:rtl/>
          <w:lang w:val="en-US"/>
          <w14:ligatures w14:val="none"/>
        </w:rPr>
        <w:t>תעבור בצורה תת-קרקעית ובאופן מינימלי דרך שביל משותף, מבלי לפגוע בשימושו התקין, ובאופן שעומד בהגדרת "שימוש סביר" ברכוש המשותף לפי חוק המקרקעין</w:t>
      </w:r>
      <w:r w:rsidRPr="00AE03DB">
        <w:rPr>
          <w:rFonts w:ascii="Calibri" w:eastAsia="Calibri" w:hAnsi="Calibri" w:cs="Arial"/>
          <w:kern w:val="0"/>
          <w:sz w:val="22"/>
          <w:szCs w:val="22"/>
          <w:lang w:val="en-US"/>
          <w14:ligatures w14:val="none"/>
        </w:rPr>
        <w:t>.</w:t>
      </w:r>
    </w:p>
    <w:p w14:paraId="1C5169E5" w14:textId="77777777" w:rsidR="00AE03DB" w:rsidRPr="00AE03DB" w:rsidRDefault="00AE03DB" w:rsidP="00AE03DB">
      <w:pPr>
        <w:numPr>
          <w:ilvl w:val="0"/>
          <w:numId w:val="1"/>
        </w:numPr>
        <w:bidi/>
        <w:spacing w:line="259" w:lineRule="auto"/>
        <w:rPr>
          <w:rFonts w:ascii="Calibri" w:eastAsia="Calibri" w:hAnsi="Calibri" w:cs="Arial"/>
          <w:kern w:val="0"/>
          <w:sz w:val="22"/>
          <w:szCs w:val="22"/>
          <w:lang w:val="en-US"/>
          <w14:ligatures w14:val="none"/>
        </w:rPr>
      </w:pPr>
      <w:r w:rsidRPr="00AE03DB">
        <w:rPr>
          <w:rFonts w:ascii="Calibri" w:eastAsia="Calibri" w:hAnsi="Calibri" w:cs="Arial"/>
          <w:b/>
          <w:bCs/>
          <w:kern w:val="0"/>
          <w:sz w:val="22"/>
          <w:szCs w:val="22"/>
          <w:rtl/>
          <w:lang w:val="en-US"/>
          <w14:ligatures w14:val="none"/>
        </w:rPr>
        <w:t>תקנון הבית המשותף</w:t>
      </w:r>
      <w:r w:rsidRPr="00AE03DB">
        <w:rPr>
          <w:rFonts w:ascii="Calibri" w:eastAsia="Calibri" w:hAnsi="Calibri" w:cs="Arial"/>
          <w:kern w:val="0"/>
          <w:sz w:val="22"/>
          <w:szCs w:val="22"/>
          <w:rtl/>
          <w:lang w:val="en-US"/>
          <w14:ligatures w14:val="none"/>
        </w:rPr>
        <w:t xml:space="preserve"> </w:t>
      </w:r>
      <w:r w:rsidRPr="00AE03DB">
        <w:rPr>
          <w:rFonts w:ascii="Calibri" w:eastAsia="Calibri" w:hAnsi="Calibri" w:cs="Arial"/>
          <w:kern w:val="0"/>
          <w:sz w:val="22"/>
          <w:szCs w:val="22"/>
          <w:lang w:val="en-US"/>
          <w14:ligatures w14:val="none"/>
        </w:rPr>
        <w:t xml:space="preserve">– </w:t>
      </w:r>
      <w:r w:rsidRPr="00AE03DB">
        <w:rPr>
          <w:rFonts w:ascii="Calibri" w:eastAsia="Calibri" w:hAnsi="Calibri" w:cs="Arial"/>
          <w:kern w:val="0"/>
          <w:sz w:val="22"/>
          <w:szCs w:val="22"/>
          <w:rtl/>
          <w:lang w:val="en-US"/>
          <w14:ligatures w14:val="none"/>
        </w:rPr>
        <w:t>נחתם בתקופה שבה לא היו רכבים חשמליים, ולכן אינו יכול להוות בסיס לאיסור מוחלט על התקנת תשתית מסוג זה</w:t>
      </w:r>
      <w:r w:rsidRPr="00AE03DB">
        <w:rPr>
          <w:rFonts w:ascii="Calibri" w:eastAsia="Calibri" w:hAnsi="Calibri" w:cs="Arial"/>
          <w:kern w:val="0"/>
          <w:sz w:val="22"/>
          <w:szCs w:val="22"/>
          <w:lang w:val="en-US"/>
          <w14:ligatures w14:val="none"/>
        </w:rPr>
        <w:t>.</w:t>
      </w:r>
    </w:p>
    <w:p w14:paraId="7A583FB1" w14:textId="77777777" w:rsidR="00AE03DB" w:rsidRPr="00AE03DB" w:rsidRDefault="00AE03DB" w:rsidP="00AE03DB">
      <w:pPr>
        <w:numPr>
          <w:ilvl w:val="0"/>
          <w:numId w:val="1"/>
        </w:numPr>
        <w:bidi/>
        <w:spacing w:line="259" w:lineRule="auto"/>
        <w:rPr>
          <w:rFonts w:ascii="Calibri" w:eastAsia="Calibri" w:hAnsi="Calibri" w:cs="Arial"/>
          <w:kern w:val="0"/>
          <w:sz w:val="22"/>
          <w:szCs w:val="22"/>
          <w:lang w:val="en-US"/>
          <w14:ligatures w14:val="none"/>
        </w:rPr>
      </w:pPr>
      <w:r w:rsidRPr="00AE03DB">
        <w:rPr>
          <w:rFonts w:ascii="Calibri" w:eastAsia="Calibri" w:hAnsi="Calibri" w:cs="Arial"/>
          <w:b/>
          <w:bCs/>
          <w:kern w:val="0"/>
          <w:sz w:val="22"/>
          <w:szCs w:val="22"/>
          <w:rtl/>
          <w:lang w:val="en-US"/>
          <w14:ligatures w14:val="none"/>
        </w:rPr>
        <w:t>בטיחות</w:t>
      </w:r>
      <w:r w:rsidRPr="00AE03DB">
        <w:rPr>
          <w:rFonts w:ascii="Calibri" w:eastAsia="Calibri" w:hAnsi="Calibri" w:cs="Arial"/>
          <w:kern w:val="0"/>
          <w:sz w:val="22"/>
          <w:szCs w:val="22"/>
          <w:rtl/>
          <w:lang w:val="en-US"/>
          <w14:ligatures w14:val="none"/>
        </w:rPr>
        <w:t xml:space="preserve"> </w:t>
      </w:r>
      <w:r w:rsidRPr="00AE03DB">
        <w:rPr>
          <w:rFonts w:ascii="Calibri" w:eastAsia="Calibri" w:hAnsi="Calibri" w:cs="Arial"/>
          <w:kern w:val="0"/>
          <w:sz w:val="22"/>
          <w:szCs w:val="22"/>
          <w:lang w:val="en-US"/>
          <w14:ligatures w14:val="none"/>
        </w:rPr>
        <w:t xml:space="preserve">– </w:t>
      </w:r>
      <w:r w:rsidRPr="00AE03DB">
        <w:rPr>
          <w:rFonts w:ascii="Calibri" w:eastAsia="Calibri" w:hAnsi="Calibri" w:cs="Arial"/>
          <w:kern w:val="0"/>
          <w:sz w:val="22"/>
          <w:szCs w:val="22"/>
          <w:rtl/>
          <w:lang w:val="en-US"/>
          <w14:ligatures w14:val="none"/>
        </w:rPr>
        <w:t>מרשינו התחייבו לעמוד בכל התקנים והכללים המחייבים, כפי שנקבע גם בפסיקות קודמות בעניין עמדות טעינה, ולבצע את כל העבודות באמצעות גורמים מוסמכים בלבד</w:t>
      </w:r>
      <w:r w:rsidRPr="00AE03DB">
        <w:rPr>
          <w:rFonts w:ascii="Calibri" w:eastAsia="Calibri" w:hAnsi="Calibri" w:cs="Arial"/>
          <w:kern w:val="0"/>
          <w:sz w:val="22"/>
          <w:szCs w:val="22"/>
          <w:lang w:val="en-US"/>
          <w14:ligatures w14:val="none"/>
        </w:rPr>
        <w:t>.</w:t>
      </w:r>
    </w:p>
    <w:p w14:paraId="269070C6" w14:textId="77777777" w:rsidR="00AE03DB" w:rsidRPr="00AE03DB" w:rsidRDefault="00AE03DB" w:rsidP="00AE03DB">
      <w:pPr>
        <w:numPr>
          <w:ilvl w:val="0"/>
          <w:numId w:val="1"/>
        </w:numPr>
        <w:bidi/>
        <w:spacing w:line="259" w:lineRule="auto"/>
        <w:rPr>
          <w:rFonts w:ascii="Calibri" w:eastAsia="Calibri" w:hAnsi="Calibri" w:cs="Arial"/>
          <w:kern w:val="0"/>
          <w:sz w:val="22"/>
          <w:szCs w:val="22"/>
          <w:lang w:val="en-US"/>
          <w14:ligatures w14:val="none"/>
        </w:rPr>
      </w:pPr>
      <w:r w:rsidRPr="00AE03DB">
        <w:rPr>
          <w:rFonts w:ascii="Calibri" w:eastAsia="Calibri" w:hAnsi="Calibri" w:cs="Arial"/>
          <w:b/>
          <w:bCs/>
          <w:kern w:val="0"/>
          <w:sz w:val="22"/>
          <w:szCs w:val="22"/>
          <w:rtl/>
          <w:lang w:val="en-US"/>
          <w14:ligatures w14:val="none"/>
        </w:rPr>
        <w:t>התנגדות הרוב</w:t>
      </w:r>
      <w:r w:rsidRPr="00AE03DB">
        <w:rPr>
          <w:rFonts w:ascii="Calibri" w:eastAsia="Calibri" w:hAnsi="Calibri" w:cs="Arial"/>
          <w:kern w:val="0"/>
          <w:sz w:val="22"/>
          <w:szCs w:val="22"/>
          <w:rtl/>
          <w:lang w:val="en-US"/>
          <w14:ligatures w14:val="none"/>
        </w:rPr>
        <w:t xml:space="preserve"> </w:t>
      </w:r>
      <w:r w:rsidRPr="00AE03DB">
        <w:rPr>
          <w:rFonts w:ascii="Calibri" w:eastAsia="Calibri" w:hAnsi="Calibri" w:cs="Arial"/>
          <w:kern w:val="0"/>
          <w:sz w:val="22"/>
          <w:szCs w:val="22"/>
          <w:lang w:val="en-US"/>
          <w14:ligatures w14:val="none"/>
        </w:rPr>
        <w:t xml:space="preserve">– </w:t>
      </w:r>
      <w:r w:rsidRPr="00AE03DB">
        <w:rPr>
          <w:rFonts w:ascii="Calibri" w:eastAsia="Calibri" w:hAnsi="Calibri" w:cs="Arial"/>
          <w:kern w:val="0"/>
          <w:sz w:val="22"/>
          <w:szCs w:val="22"/>
          <w:rtl/>
          <w:lang w:val="en-US"/>
          <w14:ligatures w14:val="none"/>
        </w:rPr>
        <w:t>אינה יכולה לשלול זכות קניינית, במיוחד כאשר השימוש ברכוש המשותף הוא מינימלי ושקול</w:t>
      </w:r>
      <w:r w:rsidRPr="00AE03DB">
        <w:rPr>
          <w:rFonts w:ascii="Calibri" w:eastAsia="Calibri" w:hAnsi="Calibri" w:cs="Arial"/>
          <w:kern w:val="0"/>
          <w:sz w:val="22"/>
          <w:szCs w:val="22"/>
          <w:lang w:val="en-US"/>
          <w14:ligatures w14:val="none"/>
        </w:rPr>
        <w:t>.</w:t>
      </w:r>
    </w:p>
    <w:p w14:paraId="0E431EFE" w14:textId="77777777" w:rsidR="00AE03DB" w:rsidRPr="00AE03DB" w:rsidRDefault="00AE03DB" w:rsidP="00AE03DB">
      <w:pPr>
        <w:bidi/>
        <w:spacing w:line="259" w:lineRule="auto"/>
        <w:rPr>
          <w:rFonts w:ascii="Calibri" w:eastAsia="Calibri" w:hAnsi="Calibri" w:cs="Arial"/>
          <w:kern w:val="0"/>
          <w:sz w:val="22"/>
          <w:szCs w:val="22"/>
          <w:lang w:val="en-US"/>
          <w14:ligatures w14:val="none"/>
        </w:rPr>
      </w:pPr>
      <w:r w:rsidRPr="00AE03DB">
        <w:rPr>
          <w:rFonts w:ascii="Calibri" w:eastAsia="Calibri" w:hAnsi="Calibri" w:cs="Arial"/>
          <w:kern w:val="0"/>
          <w:sz w:val="22"/>
          <w:szCs w:val="22"/>
          <w:rtl/>
          <w:lang w:val="en-US"/>
          <w14:ligatures w14:val="none"/>
        </w:rPr>
        <w:t>הצלחנו למקד את הדיון בזכות הקניין של מרשינו ובהיעדר פגיעה ממשית בשאר בעלי הדירות, ולהפריך את טענות הפגיעה והסיכון שהועלו. בזכות ניהול משפטי שקול ומגובה בפסיקה עדכנית, הבהרנו כי עמדת טעינה המותקנת בחניה צמודה, תוך עמידה בתקנים, אינה מצריכה אישור אסיפה ואינה מהווה הסגת גבול</w:t>
      </w:r>
      <w:r w:rsidRPr="00AE03DB">
        <w:rPr>
          <w:rFonts w:ascii="Calibri" w:eastAsia="Calibri" w:hAnsi="Calibri" w:cs="Arial"/>
          <w:kern w:val="0"/>
          <w:sz w:val="22"/>
          <w:szCs w:val="22"/>
          <w:lang w:val="en-US"/>
          <w14:ligatures w14:val="none"/>
        </w:rPr>
        <w:t>.</w:t>
      </w:r>
    </w:p>
    <w:p w14:paraId="4008BF8E" w14:textId="77777777" w:rsidR="00AE03DB" w:rsidRPr="00AE03DB" w:rsidRDefault="00AE03DB" w:rsidP="00AE03DB">
      <w:pPr>
        <w:bidi/>
        <w:spacing w:line="259" w:lineRule="auto"/>
        <w:rPr>
          <w:rFonts w:ascii="Calibri" w:eastAsia="Calibri" w:hAnsi="Calibri" w:cs="Arial"/>
          <w:kern w:val="0"/>
          <w:sz w:val="22"/>
          <w:szCs w:val="22"/>
          <w:lang w:val="en-US"/>
          <w14:ligatures w14:val="none"/>
        </w:rPr>
      </w:pPr>
      <w:r w:rsidRPr="00AE03DB">
        <w:rPr>
          <w:rFonts w:ascii="Calibri" w:eastAsia="Calibri" w:hAnsi="Calibri" w:cs="Arial"/>
          <w:kern w:val="0"/>
          <w:sz w:val="22"/>
          <w:szCs w:val="22"/>
          <w:rtl/>
          <w:lang w:val="en-US"/>
          <w14:ligatures w14:val="none"/>
        </w:rPr>
        <w:t xml:space="preserve">ההליך </w:t>
      </w:r>
      <w:proofErr w:type="spellStart"/>
      <w:r w:rsidRPr="00AE03DB">
        <w:rPr>
          <w:rFonts w:ascii="Calibri" w:eastAsia="Calibri" w:hAnsi="Calibri" w:cs="Arial"/>
          <w:kern w:val="0"/>
          <w:sz w:val="22"/>
          <w:szCs w:val="22"/>
          <w:rtl/>
          <w:lang w:val="en-US"/>
          <w14:ligatures w14:val="none"/>
        </w:rPr>
        <w:t>איפשר</w:t>
      </w:r>
      <w:proofErr w:type="spellEnd"/>
      <w:r w:rsidRPr="00AE03DB">
        <w:rPr>
          <w:rFonts w:ascii="Calibri" w:eastAsia="Calibri" w:hAnsi="Calibri" w:cs="Arial"/>
          <w:kern w:val="0"/>
          <w:sz w:val="22"/>
          <w:szCs w:val="22"/>
          <w:rtl/>
          <w:lang w:val="en-US"/>
          <w14:ligatures w14:val="none"/>
        </w:rPr>
        <w:t xml:space="preserve"> למרשינו להמשיך בהתקנת עמדת הטעינה כנדרש, לשמור על אורח חייהם, ולהיות חלק מהמעבר לאנרגיה נקייה – תוך שמירה מלאה על זכויותיהם הקנייניות</w:t>
      </w:r>
      <w:r w:rsidRPr="00AE03DB">
        <w:rPr>
          <w:rFonts w:ascii="Calibri" w:eastAsia="Calibri" w:hAnsi="Calibri" w:cs="Arial"/>
          <w:kern w:val="0"/>
          <w:sz w:val="22"/>
          <w:szCs w:val="22"/>
          <w:lang w:val="en-US"/>
          <w14:ligatures w14:val="none"/>
        </w:rPr>
        <w:t>.</w:t>
      </w:r>
    </w:p>
    <w:p w14:paraId="11FD6B36" w14:textId="77777777" w:rsidR="00AE03DB" w:rsidRPr="00AE03DB" w:rsidRDefault="00AE03DB">
      <w:pPr>
        <w:rPr>
          <w:lang w:val="en-US"/>
        </w:rPr>
      </w:pPr>
    </w:p>
    <w:sectPr w:rsidR="00AE03DB" w:rsidRPr="00AE0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2C57E0"/>
    <w:multiLevelType w:val="multilevel"/>
    <w:tmpl w:val="D3AA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02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DB"/>
    <w:rsid w:val="00AE03DB"/>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5A4A"/>
  <w15:chartTrackingRefBased/>
  <w15:docId w15:val="{B45A648C-B125-4A18-843B-9AC24870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3DB"/>
    <w:rPr>
      <w:rFonts w:eastAsiaTheme="majorEastAsia" w:cstheme="majorBidi"/>
      <w:color w:val="272727" w:themeColor="text1" w:themeTint="D8"/>
    </w:rPr>
  </w:style>
  <w:style w:type="paragraph" w:styleId="Title">
    <w:name w:val="Title"/>
    <w:basedOn w:val="Normal"/>
    <w:next w:val="Normal"/>
    <w:link w:val="TitleChar"/>
    <w:uiPriority w:val="10"/>
    <w:qFormat/>
    <w:rsid w:val="00AE0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3DB"/>
    <w:pPr>
      <w:spacing w:before="160"/>
      <w:jc w:val="center"/>
    </w:pPr>
    <w:rPr>
      <w:i/>
      <w:iCs/>
      <w:color w:val="404040" w:themeColor="text1" w:themeTint="BF"/>
    </w:rPr>
  </w:style>
  <w:style w:type="character" w:customStyle="1" w:styleId="QuoteChar">
    <w:name w:val="Quote Char"/>
    <w:basedOn w:val="DefaultParagraphFont"/>
    <w:link w:val="Quote"/>
    <w:uiPriority w:val="29"/>
    <w:rsid w:val="00AE03DB"/>
    <w:rPr>
      <w:i/>
      <w:iCs/>
      <w:color w:val="404040" w:themeColor="text1" w:themeTint="BF"/>
    </w:rPr>
  </w:style>
  <w:style w:type="paragraph" w:styleId="ListParagraph">
    <w:name w:val="List Paragraph"/>
    <w:basedOn w:val="Normal"/>
    <w:uiPriority w:val="34"/>
    <w:qFormat/>
    <w:rsid w:val="00AE03DB"/>
    <w:pPr>
      <w:ind w:left="720"/>
      <w:contextualSpacing/>
    </w:pPr>
  </w:style>
  <w:style w:type="character" w:styleId="IntenseEmphasis">
    <w:name w:val="Intense Emphasis"/>
    <w:basedOn w:val="DefaultParagraphFont"/>
    <w:uiPriority w:val="21"/>
    <w:qFormat/>
    <w:rsid w:val="00AE03DB"/>
    <w:rPr>
      <w:i/>
      <w:iCs/>
      <w:color w:val="0F4761" w:themeColor="accent1" w:themeShade="BF"/>
    </w:rPr>
  </w:style>
  <w:style w:type="paragraph" w:styleId="IntenseQuote">
    <w:name w:val="Intense Quote"/>
    <w:basedOn w:val="Normal"/>
    <w:next w:val="Normal"/>
    <w:link w:val="IntenseQuoteChar"/>
    <w:uiPriority w:val="30"/>
    <w:qFormat/>
    <w:rsid w:val="00AE0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3DB"/>
    <w:rPr>
      <w:i/>
      <w:iCs/>
      <w:color w:val="0F4761" w:themeColor="accent1" w:themeShade="BF"/>
    </w:rPr>
  </w:style>
  <w:style w:type="character" w:styleId="IntenseReference">
    <w:name w:val="Intense Reference"/>
    <w:basedOn w:val="DefaultParagraphFont"/>
    <w:uiPriority w:val="32"/>
    <w:qFormat/>
    <w:rsid w:val="00AE03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2025-09-03T08:22:00Z</dcterms:created>
  <dcterms:modified xsi:type="dcterms:W3CDTF">2025-09-03T08:23:00Z</dcterms:modified>
</cp:coreProperties>
</file>