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0517B" w14:textId="77777777" w:rsidR="00C64899" w:rsidRPr="00C64899" w:rsidRDefault="00C64899" w:rsidP="00C64899">
      <w:pPr>
        <w:bidi/>
        <w:spacing w:line="259" w:lineRule="auto"/>
        <w:rPr>
          <w:rFonts w:ascii="Calibri" w:eastAsia="Calibri" w:hAnsi="Calibri" w:cs="Arial"/>
          <w:b/>
          <w:bCs/>
          <w:kern w:val="0"/>
          <w:sz w:val="22"/>
          <w:szCs w:val="22"/>
          <w:lang w:val="en-US"/>
          <w14:ligatures w14:val="none"/>
        </w:rPr>
      </w:pPr>
      <w:r w:rsidRPr="00C64899">
        <w:rPr>
          <w:rFonts w:ascii="Calibri" w:eastAsia="Calibri" w:hAnsi="Calibri" w:cs="Arial"/>
          <w:b/>
          <w:bCs/>
          <w:kern w:val="0"/>
          <w:sz w:val="22"/>
          <w:szCs w:val="22"/>
          <w:rtl/>
          <w:lang w:val="en-US"/>
          <w14:ligatures w14:val="none"/>
        </w:rPr>
        <w:t>נושא</w:t>
      </w:r>
      <w:r w:rsidRPr="00C64899">
        <w:rPr>
          <w:rFonts w:ascii="Calibri" w:eastAsia="Calibri" w:hAnsi="Calibri" w:cs="Arial"/>
          <w:b/>
          <w:bCs/>
          <w:kern w:val="0"/>
          <w:sz w:val="22"/>
          <w:szCs w:val="22"/>
          <w:lang w:val="en-US"/>
          <w14:ligatures w14:val="none"/>
        </w:rPr>
        <w:t>:</w:t>
      </w:r>
      <w:r w:rsidRPr="00C64899">
        <w:rPr>
          <w:rFonts w:ascii="Calibri" w:eastAsia="Calibri" w:hAnsi="Calibri" w:cs="Arial" w:hint="cs"/>
          <w:b/>
          <w:bCs/>
          <w:kern w:val="0"/>
          <w:sz w:val="22"/>
          <w:szCs w:val="22"/>
          <w:rtl/>
          <w:lang w:val="en-US"/>
          <w14:ligatures w14:val="none"/>
        </w:rPr>
        <w:t xml:space="preserve"> </w:t>
      </w:r>
      <w:r w:rsidRPr="00C64899">
        <w:rPr>
          <w:rFonts w:ascii="Calibri" w:eastAsia="Calibri" w:hAnsi="Calibri" w:cs="Arial"/>
          <w:b/>
          <w:bCs/>
          <w:kern w:val="0"/>
          <w:sz w:val="22"/>
          <w:szCs w:val="22"/>
          <w:rtl/>
          <w:lang w:val="en-US"/>
          <w14:ligatures w14:val="none"/>
        </w:rPr>
        <w:t>ניהול הליך מורכב של תביעה ותביעה שכנגד – סכסוך שכנים בבית לשימור בחיפה</w:t>
      </w:r>
      <w:r w:rsidRPr="00C64899">
        <w:rPr>
          <w:rFonts w:ascii="Calibri" w:eastAsia="Calibri" w:hAnsi="Calibri" w:cs="Arial"/>
          <w:b/>
          <w:bCs/>
          <w:kern w:val="0"/>
          <w:sz w:val="22"/>
          <w:szCs w:val="22"/>
          <w:lang w:val="en-US"/>
          <w14:ligatures w14:val="none"/>
        </w:rPr>
        <w:t>.</w:t>
      </w:r>
    </w:p>
    <w:p w14:paraId="6092BB11" w14:textId="77777777" w:rsidR="00C64899" w:rsidRPr="00C64899" w:rsidRDefault="00C64899" w:rsidP="00C64899">
      <w:pPr>
        <w:bidi/>
        <w:spacing w:line="259" w:lineRule="auto"/>
        <w:rPr>
          <w:rFonts w:ascii="Calibri" w:eastAsia="Calibri" w:hAnsi="Calibri" w:cs="Arial"/>
          <w:kern w:val="0"/>
          <w:sz w:val="22"/>
          <w:szCs w:val="22"/>
          <w:lang w:val="en-US"/>
          <w14:ligatures w14:val="none"/>
        </w:rPr>
      </w:pPr>
      <w:r w:rsidRPr="00C64899">
        <w:rPr>
          <w:rFonts w:ascii="Calibri" w:eastAsia="Calibri" w:hAnsi="Calibri" w:cs="Arial"/>
          <w:b/>
          <w:bCs/>
          <w:kern w:val="0"/>
          <w:sz w:val="22"/>
          <w:szCs w:val="22"/>
          <w:rtl/>
          <w:lang w:val="en-US"/>
          <w14:ligatures w14:val="none"/>
        </w:rPr>
        <w:t>סיפור הצלחה</w:t>
      </w:r>
      <w:r w:rsidRPr="00C64899">
        <w:rPr>
          <w:rFonts w:ascii="Calibri" w:eastAsia="Calibri" w:hAnsi="Calibri" w:cs="Arial"/>
          <w:b/>
          <w:bCs/>
          <w:kern w:val="0"/>
          <w:sz w:val="22"/>
          <w:szCs w:val="22"/>
          <w:lang w:val="en-US"/>
          <w14:ligatures w14:val="none"/>
        </w:rPr>
        <w:t>:</w:t>
      </w:r>
      <w:r w:rsidRPr="00C64899">
        <w:rPr>
          <w:rFonts w:ascii="Calibri" w:eastAsia="Calibri" w:hAnsi="Calibri" w:cs="Arial"/>
          <w:kern w:val="0"/>
          <w:sz w:val="22"/>
          <w:szCs w:val="22"/>
          <w:lang w:val="en-US"/>
          <w14:ligatures w14:val="none"/>
        </w:rPr>
        <w:br/>
      </w:r>
      <w:r w:rsidRPr="00C64899">
        <w:rPr>
          <w:rFonts w:ascii="Calibri" w:eastAsia="Calibri" w:hAnsi="Calibri" w:cs="Arial"/>
          <w:kern w:val="0"/>
          <w:sz w:val="22"/>
          <w:szCs w:val="22"/>
          <w:rtl/>
          <w:lang w:val="en-US"/>
          <w14:ligatures w14:val="none"/>
        </w:rPr>
        <w:t>משרדנו ייצג שני דיירים בבית לשימור ברחוב הירוק 2 בחיפה, שנגררו להליך משפטי סבוך מול שכנים מדירת הקרקע, על רקע האשמות הדדיות של פלישה לרכוש משותף, בנייה בלתי חוקית ופגיעה ביציבות המבנה. התובעים המקוריים (השכנים) טענו כי מרשינו פלשו לשטחים משותפים, חפרו בקומת המרתף, פגעו ביסודות הבניין וחסמו גישה לרכוש המשותף. מנגד, מרשינו ידעו להוכיח שמדובר בהאשמות שווא, ושדווקא הצד השני הוא שביצע בנייה לא חוקית והשתלטות על חלקים ניכרים מהרכוש המשותף</w:t>
      </w:r>
      <w:r w:rsidRPr="00C64899">
        <w:rPr>
          <w:rFonts w:ascii="Calibri" w:eastAsia="Calibri" w:hAnsi="Calibri" w:cs="Arial"/>
          <w:kern w:val="0"/>
          <w:sz w:val="22"/>
          <w:szCs w:val="22"/>
          <w:lang w:val="en-US"/>
          <w14:ligatures w14:val="none"/>
        </w:rPr>
        <w:t>.</w:t>
      </w:r>
    </w:p>
    <w:p w14:paraId="781F5DC7" w14:textId="77777777" w:rsidR="00C64899" w:rsidRPr="00C64899" w:rsidRDefault="00C64899" w:rsidP="00C64899">
      <w:pPr>
        <w:bidi/>
        <w:spacing w:line="259" w:lineRule="auto"/>
        <w:rPr>
          <w:rFonts w:ascii="Calibri" w:eastAsia="Calibri" w:hAnsi="Calibri" w:cs="Arial"/>
          <w:kern w:val="0"/>
          <w:sz w:val="22"/>
          <w:szCs w:val="22"/>
          <w:lang w:val="en-US"/>
          <w14:ligatures w14:val="none"/>
        </w:rPr>
      </w:pPr>
      <w:r w:rsidRPr="00C64899">
        <w:rPr>
          <w:rFonts w:ascii="Calibri" w:eastAsia="Calibri" w:hAnsi="Calibri" w:cs="Arial"/>
          <w:b/>
          <w:bCs/>
          <w:kern w:val="0"/>
          <w:sz w:val="22"/>
          <w:szCs w:val="22"/>
          <w:rtl/>
          <w:lang w:val="en-US"/>
          <w14:ligatures w14:val="none"/>
        </w:rPr>
        <w:t>האסטרטגיה המשפטית שבנינו</w:t>
      </w:r>
      <w:r w:rsidRPr="00C64899">
        <w:rPr>
          <w:rFonts w:ascii="Calibri" w:eastAsia="Calibri" w:hAnsi="Calibri" w:cs="Arial"/>
          <w:b/>
          <w:bCs/>
          <w:kern w:val="0"/>
          <w:sz w:val="22"/>
          <w:szCs w:val="22"/>
          <w:lang w:val="en-US"/>
          <w14:ligatures w14:val="none"/>
        </w:rPr>
        <w:t>:</w:t>
      </w:r>
    </w:p>
    <w:p w14:paraId="665D9CFE" w14:textId="77777777" w:rsidR="00C64899" w:rsidRPr="00C64899" w:rsidRDefault="00C64899" w:rsidP="00C64899">
      <w:pPr>
        <w:numPr>
          <w:ilvl w:val="0"/>
          <w:numId w:val="1"/>
        </w:numPr>
        <w:bidi/>
        <w:spacing w:line="259" w:lineRule="auto"/>
        <w:rPr>
          <w:rFonts w:ascii="Calibri" w:eastAsia="Calibri" w:hAnsi="Calibri" w:cs="Arial"/>
          <w:kern w:val="0"/>
          <w:sz w:val="22"/>
          <w:szCs w:val="22"/>
          <w:lang w:val="en-US"/>
          <w14:ligatures w14:val="none"/>
        </w:rPr>
      </w:pPr>
      <w:r w:rsidRPr="00C64899">
        <w:rPr>
          <w:rFonts w:ascii="Calibri" w:eastAsia="Calibri" w:hAnsi="Calibri" w:cs="Arial"/>
          <w:b/>
          <w:bCs/>
          <w:kern w:val="0"/>
          <w:sz w:val="22"/>
          <w:szCs w:val="22"/>
          <w:rtl/>
          <w:lang w:val="en-US"/>
          <w14:ligatures w14:val="none"/>
        </w:rPr>
        <w:t>הצגת תיעוד נגדי</w:t>
      </w:r>
      <w:r w:rsidRPr="00C64899">
        <w:rPr>
          <w:rFonts w:ascii="Calibri" w:eastAsia="Calibri" w:hAnsi="Calibri" w:cs="Arial"/>
          <w:kern w:val="0"/>
          <w:sz w:val="22"/>
          <w:szCs w:val="22"/>
          <w:rtl/>
          <w:lang w:val="en-US"/>
          <w14:ligatures w14:val="none"/>
        </w:rPr>
        <w:t xml:space="preserve"> </w:t>
      </w:r>
      <w:r w:rsidRPr="00C64899">
        <w:rPr>
          <w:rFonts w:ascii="Calibri" w:eastAsia="Calibri" w:hAnsi="Calibri" w:cs="Arial"/>
          <w:kern w:val="0"/>
          <w:sz w:val="22"/>
          <w:szCs w:val="22"/>
          <w:lang w:val="en-US"/>
          <w14:ligatures w14:val="none"/>
        </w:rPr>
        <w:t xml:space="preserve">– </w:t>
      </w:r>
      <w:r w:rsidRPr="00C64899">
        <w:rPr>
          <w:rFonts w:ascii="Calibri" w:eastAsia="Calibri" w:hAnsi="Calibri" w:cs="Arial"/>
          <w:kern w:val="0"/>
          <w:sz w:val="22"/>
          <w:szCs w:val="22"/>
          <w:rtl/>
          <w:lang w:val="en-US"/>
          <w14:ligatures w14:val="none"/>
        </w:rPr>
        <w:t xml:space="preserve">הבאנו תמונות, מסמכים </w:t>
      </w:r>
      <w:proofErr w:type="spellStart"/>
      <w:r w:rsidRPr="00C64899">
        <w:rPr>
          <w:rFonts w:ascii="Calibri" w:eastAsia="Calibri" w:hAnsi="Calibri" w:cs="Arial"/>
          <w:kern w:val="0"/>
          <w:sz w:val="22"/>
          <w:szCs w:val="22"/>
          <w:rtl/>
          <w:lang w:val="en-US"/>
          <w14:ligatures w14:val="none"/>
        </w:rPr>
        <w:t>ותשריטים</w:t>
      </w:r>
      <w:proofErr w:type="spellEnd"/>
      <w:r w:rsidRPr="00C64899">
        <w:rPr>
          <w:rFonts w:ascii="Calibri" w:eastAsia="Calibri" w:hAnsi="Calibri" w:cs="Arial"/>
          <w:kern w:val="0"/>
          <w:sz w:val="22"/>
          <w:szCs w:val="22"/>
          <w:rtl/>
          <w:lang w:val="en-US"/>
          <w14:ligatures w14:val="none"/>
        </w:rPr>
        <w:t xml:space="preserve"> שהוכיחו כי התובעים המקוריים הם אלו שבנו קיר תומך בגובה 3 מטר על הרכוש המשותף, ללא היתר ותוך חסימת גישה לתשתיות חיוניות, וכן החלו בבניית פרגולה בשטח משותף בניגוד לחוק</w:t>
      </w:r>
      <w:r w:rsidRPr="00C64899">
        <w:rPr>
          <w:rFonts w:ascii="Calibri" w:eastAsia="Calibri" w:hAnsi="Calibri" w:cs="Arial"/>
          <w:kern w:val="0"/>
          <w:sz w:val="22"/>
          <w:szCs w:val="22"/>
          <w:lang w:val="en-US"/>
          <w14:ligatures w14:val="none"/>
        </w:rPr>
        <w:t>.</w:t>
      </w:r>
    </w:p>
    <w:p w14:paraId="305CA64C" w14:textId="77777777" w:rsidR="00C64899" w:rsidRPr="00C64899" w:rsidRDefault="00C64899" w:rsidP="00C64899">
      <w:pPr>
        <w:numPr>
          <w:ilvl w:val="0"/>
          <w:numId w:val="1"/>
        </w:numPr>
        <w:bidi/>
        <w:spacing w:line="259" w:lineRule="auto"/>
        <w:rPr>
          <w:rFonts w:ascii="Calibri" w:eastAsia="Calibri" w:hAnsi="Calibri" w:cs="Arial"/>
          <w:kern w:val="0"/>
          <w:sz w:val="22"/>
          <w:szCs w:val="22"/>
          <w:lang w:val="en-US"/>
          <w14:ligatures w14:val="none"/>
        </w:rPr>
      </w:pPr>
      <w:r w:rsidRPr="00C64899">
        <w:rPr>
          <w:rFonts w:ascii="Calibri" w:eastAsia="Calibri" w:hAnsi="Calibri" w:cs="Arial"/>
          <w:b/>
          <w:bCs/>
          <w:kern w:val="0"/>
          <w:sz w:val="22"/>
          <w:szCs w:val="22"/>
          <w:rtl/>
          <w:lang w:val="en-US"/>
          <w14:ligatures w14:val="none"/>
        </w:rPr>
        <w:t>הוכחת קיום הסכמי חילופי נכסים</w:t>
      </w:r>
      <w:r w:rsidRPr="00C64899">
        <w:rPr>
          <w:rFonts w:ascii="Calibri" w:eastAsia="Calibri" w:hAnsi="Calibri" w:cs="Arial"/>
          <w:kern w:val="0"/>
          <w:sz w:val="22"/>
          <w:szCs w:val="22"/>
          <w:rtl/>
          <w:lang w:val="en-US"/>
          <w14:ligatures w14:val="none"/>
        </w:rPr>
        <w:t xml:space="preserve"> </w:t>
      </w:r>
      <w:r w:rsidRPr="00C64899">
        <w:rPr>
          <w:rFonts w:ascii="Calibri" w:eastAsia="Calibri" w:hAnsi="Calibri" w:cs="Arial"/>
          <w:kern w:val="0"/>
          <w:sz w:val="22"/>
          <w:szCs w:val="22"/>
          <w:lang w:val="en-US"/>
          <w14:ligatures w14:val="none"/>
        </w:rPr>
        <w:t xml:space="preserve">– </w:t>
      </w:r>
      <w:r w:rsidRPr="00C64899">
        <w:rPr>
          <w:rFonts w:ascii="Calibri" w:eastAsia="Calibri" w:hAnsi="Calibri" w:cs="Arial"/>
          <w:kern w:val="0"/>
          <w:sz w:val="22"/>
          <w:szCs w:val="22"/>
          <w:rtl/>
          <w:lang w:val="en-US"/>
          <w14:ligatures w14:val="none"/>
        </w:rPr>
        <w:t>הצגנו הסכם חילופין שבו הוסדרו זכויות בשטח ובמחסנים, תוך הדגשת הפרות ההסכם מצד התובעים המקוריים, שהתעלמו מהמוסכם והרחיבו את השתלטותם על השטח</w:t>
      </w:r>
      <w:r w:rsidRPr="00C64899">
        <w:rPr>
          <w:rFonts w:ascii="Calibri" w:eastAsia="Calibri" w:hAnsi="Calibri" w:cs="Arial"/>
          <w:kern w:val="0"/>
          <w:sz w:val="22"/>
          <w:szCs w:val="22"/>
          <w:lang w:val="en-US"/>
          <w14:ligatures w14:val="none"/>
        </w:rPr>
        <w:t>.</w:t>
      </w:r>
    </w:p>
    <w:p w14:paraId="6D648C45" w14:textId="77777777" w:rsidR="00C64899" w:rsidRPr="00C64899" w:rsidRDefault="00C64899" w:rsidP="00C64899">
      <w:pPr>
        <w:numPr>
          <w:ilvl w:val="0"/>
          <w:numId w:val="1"/>
        </w:numPr>
        <w:bidi/>
        <w:spacing w:line="259" w:lineRule="auto"/>
        <w:rPr>
          <w:rFonts w:ascii="Calibri" w:eastAsia="Calibri" w:hAnsi="Calibri" w:cs="Arial"/>
          <w:kern w:val="0"/>
          <w:sz w:val="22"/>
          <w:szCs w:val="22"/>
          <w:lang w:val="en-US"/>
          <w14:ligatures w14:val="none"/>
        </w:rPr>
      </w:pPr>
      <w:r w:rsidRPr="00C64899">
        <w:rPr>
          <w:rFonts w:ascii="Calibri" w:eastAsia="Calibri" w:hAnsi="Calibri" w:cs="Arial"/>
          <w:b/>
          <w:bCs/>
          <w:kern w:val="0"/>
          <w:sz w:val="22"/>
          <w:szCs w:val="22"/>
          <w:rtl/>
          <w:lang w:val="en-US"/>
          <w14:ligatures w14:val="none"/>
        </w:rPr>
        <w:t>הדגשת מטרת העבודות שביצעו מרשינו</w:t>
      </w:r>
      <w:r w:rsidRPr="00C64899">
        <w:rPr>
          <w:rFonts w:ascii="Calibri" w:eastAsia="Calibri" w:hAnsi="Calibri" w:cs="Arial"/>
          <w:kern w:val="0"/>
          <w:sz w:val="22"/>
          <w:szCs w:val="22"/>
          <w:rtl/>
          <w:lang w:val="en-US"/>
          <w14:ligatures w14:val="none"/>
        </w:rPr>
        <w:t xml:space="preserve"> </w:t>
      </w:r>
      <w:r w:rsidRPr="00C64899">
        <w:rPr>
          <w:rFonts w:ascii="Calibri" w:eastAsia="Calibri" w:hAnsi="Calibri" w:cs="Arial"/>
          <w:kern w:val="0"/>
          <w:sz w:val="22"/>
          <w:szCs w:val="22"/>
          <w:lang w:val="en-US"/>
          <w14:ligatures w14:val="none"/>
        </w:rPr>
        <w:t xml:space="preserve">– </w:t>
      </w:r>
      <w:r w:rsidRPr="00C64899">
        <w:rPr>
          <w:rFonts w:ascii="Calibri" w:eastAsia="Calibri" w:hAnsi="Calibri" w:cs="Arial"/>
          <w:kern w:val="0"/>
          <w:sz w:val="22"/>
          <w:szCs w:val="22"/>
          <w:rtl/>
          <w:lang w:val="en-US"/>
          <w14:ligatures w14:val="none"/>
        </w:rPr>
        <w:t>הבהרנו כי העבודות שבוצעו על ידם נועדו לחיזוק יסודות הבניין, לפי תוכנית קונסטרוקטיבית, מתוך אחריות לשימור המבנה והגנה על כלל הדיירים</w:t>
      </w:r>
      <w:r w:rsidRPr="00C64899">
        <w:rPr>
          <w:rFonts w:ascii="Calibri" w:eastAsia="Calibri" w:hAnsi="Calibri" w:cs="Arial"/>
          <w:kern w:val="0"/>
          <w:sz w:val="22"/>
          <w:szCs w:val="22"/>
          <w:lang w:val="en-US"/>
          <w14:ligatures w14:val="none"/>
        </w:rPr>
        <w:t>.</w:t>
      </w:r>
    </w:p>
    <w:p w14:paraId="45662B07" w14:textId="77777777" w:rsidR="00C64899" w:rsidRPr="00C64899" w:rsidRDefault="00C64899" w:rsidP="00C64899">
      <w:pPr>
        <w:numPr>
          <w:ilvl w:val="0"/>
          <w:numId w:val="1"/>
        </w:numPr>
        <w:bidi/>
        <w:spacing w:line="259" w:lineRule="auto"/>
        <w:rPr>
          <w:rFonts w:ascii="Calibri" w:eastAsia="Calibri" w:hAnsi="Calibri" w:cs="Arial"/>
          <w:kern w:val="0"/>
          <w:sz w:val="22"/>
          <w:szCs w:val="22"/>
          <w:lang w:val="en-US"/>
          <w14:ligatures w14:val="none"/>
        </w:rPr>
      </w:pPr>
      <w:r w:rsidRPr="00C64899">
        <w:rPr>
          <w:rFonts w:ascii="Calibri" w:eastAsia="Calibri" w:hAnsi="Calibri" w:cs="Arial"/>
          <w:b/>
          <w:bCs/>
          <w:kern w:val="0"/>
          <w:sz w:val="22"/>
          <w:szCs w:val="22"/>
          <w:rtl/>
          <w:lang w:val="en-US"/>
          <w14:ligatures w14:val="none"/>
        </w:rPr>
        <w:t>חיזוק טענת חוסר תום הלב של הצד השני</w:t>
      </w:r>
      <w:r w:rsidRPr="00C64899">
        <w:rPr>
          <w:rFonts w:ascii="Calibri" w:eastAsia="Calibri" w:hAnsi="Calibri" w:cs="Arial"/>
          <w:kern w:val="0"/>
          <w:sz w:val="22"/>
          <w:szCs w:val="22"/>
          <w:rtl/>
          <w:lang w:val="en-US"/>
          <w14:ligatures w14:val="none"/>
        </w:rPr>
        <w:t xml:space="preserve"> </w:t>
      </w:r>
      <w:r w:rsidRPr="00C64899">
        <w:rPr>
          <w:rFonts w:ascii="Calibri" w:eastAsia="Calibri" w:hAnsi="Calibri" w:cs="Arial"/>
          <w:kern w:val="0"/>
          <w:sz w:val="22"/>
          <w:szCs w:val="22"/>
          <w:lang w:val="en-US"/>
          <w14:ligatures w14:val="none"/>
        </w:rPr>
        <w:t xml:space="preserve">– </w:t>
      </w:r>
      <w:r w:rsidRPr="00C64899">
        <w:rPr>
          <w:rFonts w:ascii="Calibri" w:eastAsia="Calibri" w:hAnsi="Calibri" w:cs="Arial"/>
          <w:kern w:val="0"/>
          <w:sz w:val="22"/>
          <w:szCs w:val="22"/>
          <w:rtl/>
          <w:lang w:val="en-US"/>
          <w14:ligatures w14:val="none"/>
        </w:rPr>
        <w:t>הצבענו על כך שהתביעה המקורית הוגשה במטרה להפעיל לחץ פסול על מרשינו, ולאחר שאלה התנגדו לבנייה הבלתי חוקית של התובעים</w:t>
      </w:r>
      <w:r w:rsidRPr="00C64899">
        <w:rPr>
          <w:rFonts w:ascii="Calibri" w:eastAsia="Calibri" w:hAnsi="Calibri" w:cs="Arial"/>
          <w:kern w:val="0"/>
          <w:sz w:val="22"/>
          <w:szCs w:val="22"/>
          <w:lang w:val="en-US"/>
          <w14:ligatures w14:val="none"/>
        </w:rPr>
        <w:t>.</w:t>
      </w:r>
    </w:p>
    <w:p w14:paraId="7B8D7E09" w14:textId="77777777" w:rsidR="00C64899" w:rsidRPr="00C64899" w:rsidRDefault="00C64899" w:rsidP="00C64899">
      <w:pPr>
        <w:numPr>
          <w:ilvl w:val="0"/>
          <w:numId w:val="1"/>
        </w:numPr>
        <w:bidi/>
        <w:spacing w:line="259" w:lineRule="auto"/>
        <w:rPr>
          <w:rFonts w:ascii="Calibri" w:eastAsia="Calibri" w:hAnsi="Calibri" w:cs="Arial"/>
          <w:kern w:val="0"/>
          <w:sz w:val="22"/>
          <w:szCs w:val="22"/>
          <w:lang w:val="en-US"/>
          <w14:ligatures w14:val="none"/>
        </w:rPr>
      </w:pPr>
      <w:r w:rsidRPr="00C64899">
        <w:rPr>
          <w:rFonts w:ascii="Calibri" w:eastAsia="Calibri" w:hAnsi="Calibri" w:cs="Arial"/>
          <w:b/>
          <w:bCs/>
          <w:kern w:val="0"/>
          <w:sz w:val="22"/>
          <w:szCs w:val="22"/>
          <w:rtl/>
          <w:lang w:val="en-US"/>
          <w14:ligatures w14:val="none"/>
        </w:rPr>
        <w:t>הגשת תביעה שכנגד ממוקדת</w:t>
      </w:r>
      <w:r w:rsidRPr="00C64899">
        <w:rPr>
          <w:rFonts w:ascii="Calibri" w:eastAsia="Calibri" w:hAnsi="Calibri" w:cs="Arial"/>
          <w:kern w:val="0"/>
          <w:sz w:val="22"/>
          <w:szCs w:val="22"/>
          <w:rtl/>
          <w:lang w:val="en-US"/>
          <w14:ligatures w14:val="none"/>
        </w:rPr>
        <w:t xml:space="preserve"> </w:t>
      </w:r>
      <w:r w:rsidRPr="00C64899">
        <w:rPr>
          <w:rFonts w:ascii="Calibri" w:eastAsia="Calibri" w:hAnsi="Calibri" w:cs="Arial"/>
          <w:kern w:val="0"/>
          <w:sz w:val="22"/>
          <w:szCs w:val="22"/>
          <w:lang w:val="en-US"/>
          <w14:ligatures w14:val="none"/>
        </w:rPr>
        <w:t xml:space="preserve">– </w:t>
      </w:r>
      <w:r w:rsidRPr="00C64899">
        <w:rPr>
          <w:rFonts w:ascii="Calibri" w:eastAsia="Calibri" w:hAnsi="Calibri" w:cs="Arial"/>
          <w:kern w:val="0"/>
          <w:sz w:val="22"/>
          <w:szCs w:val="22"/>
          <w:rtl/>
          <w:lang w:val="en-US"/>
          <w14:ligatures w14:val="none"/>
        </w:rPr>
        <w:t>דרשנו צווי הריסה של הבנייה הבלתי חוקית, השבת הרכוש המשותף למצבו המקורי וחיוב בהשתתפות בהוצאות חיזוק המבנה, כדי להחזיר את הסדר והחוקיות לבניין</w:t>
      </w:r>
      <w:r w:rsidRPr="00C64899">
        <w:rPr>
          <w:rFonts w:ascii="Calibri" w:eastAsia="Calibri" w:hAnsi="Calibri" w:cs="Arial"/>
          <w:kern w:val="0"/>
          <w:sz w:val="22"/>
          <w:szCs w:val="22"/>
          <w:lang w:val="en-US"/>
          <w14:ligatures w14:val="none"/>
        </w:rPr>
        <w:t>.</w:t>
      </w:r>
    </w:p>
    <w:p w14:paraId="7E291EF2" w14:textId="77777777" w:rsidR="00C64899" w:rsidRPr="00C64899" w:rsidRDefault="00C64899" w:rsidP="00C64899">
      <w:pPr>
        <w:bidi/>
        <w:spacing w:line="259" w:lineRule="auto"/>
        <w:rPr>
          <w:rFonts w:ascii="Calibri" w:eastAsia="Calibri" w:hAnsi="Calibri" w:cs="Arial"/>
          <w:kern w:val="0"/>
          <w:sz w:val="22"/>
          <w:szCs w:val="22"/>
          <w:lang w:val="en-US"/>
          <w14:ligatures w14:val="none"/>
        </w:rPr>
      </w:pPr>
      <w:r w:rsidRPr="00C64899">
        <w:rPr>
          <w:rFonts w:ascii="Calibri" w:eastAsia="Calibri" w:hAnsi="Calibri" w:cs="Arial"/>
          <w:b/>
          <w:bCs/>
          <w:kern w:val="0"/>
          <w:sz w:val="22"/>
          <w:szCs w:val="22"/>
          <w:rtl/>
          <w:lang w:val="en-US"/>
          <w14:ligatures w14:val="none"/>
        </w:rPr>
        <w:t>התוצאה</w:t>
      </w:r>
      <w:r w:rsidRPr="00C64899">
        <w:rPr>
          <w:rFonts w:ascii="Calibri" w:eastAsia="Calibri" w:hAnsi="Calibri" w:cs="Arial"/>
          <w:b/>
          <w:bCs/>
          <w:kern w:val="0"/>
          <w:sz w:val="22"/>
          <w:szCs w:val="22"/>
          <w:lang w:val="en-US"/>
          <w14:ligatures w14:val="none"/>
        </w:rPr>
        <w:t>:</w:t>
      </w:r>
      <w:r w:rsidRPr="00C64899">
        <w:rPr>
          <w:rFonts w:ascii="Calibri" w:eastAsia="Calibri" w:hAnsi="Calibri" w:cs="Arial"/>
          <w:kern w:val="0"/>
          <w:sz w:val="22"/>
          <w:szCs w:val="22"/>
          <w:lang w:val="en-US"/>
          <w14:ligatures w14:val="none"/>
        </w:rPr>
        <w:br/>
      </w:r>
      <w:r w:rsidRPr="00C64899">
        <w:rPr>
          <w:rFonts w:ascii="Calibri" w:eastAsia="Calibri" w:hAnsi="Calibri" w:cs="Arial"/>
          <w:kern w:val="0"/>
          <w:sz w:val="22"/>
          <w:szCs w:val="22"/>
          <w:rtl/>
          <w:lang w:val="en-US"/>
          <w14:ligatures w14:val="none"/>
        </w:rPr>
        <w:t>באמצעות שילוב בין טענות קנייניות ברורות, הצגת תשתית עובדתית חזקה ותיעוד מהנדסי, הצלחנו לשנות את נקודת המבט בהליך, להראות שבמרכז המחלוקת עומדת הבנייה הבלתי חוקית של התובעים המקוריים, ולבסס את דרישות מרשינו בתביעה שכנגד. ההליך הפך מהגנה פסיבית למתקפה מבוססת, שהציבה את מרשינו בעמדת יתרון מהותי</w:t>
      </w:r>
      <w:r w:rsidRPr="00C64899">
        <w:rPr>
          <w:rFonts w:ascii="Calibri" w:eastAsia="Calibri" w:hAnsi="Calibri" w:cs="Arial"/>
          <w:kern w:val="0"/>
          <w:sz w:val="22"/>
          <w:szCs w:val="22"/>
          <w:lang w:val="en-US"/>
          <w14:ligatures w14:val="none"/>
        </w:rPr>
        <w:t>.</w:t>
      </w:r>
    </w:p>
    <w:p w14:paraId="5A86B239" w14:textId="77777777" w:rsidR="00C64899" w:rsidRPr="00C64899" w:rsidRDefault="00C64899">
      <w:pPr>
        <w:rPr>
          <w:lang w:val="en-US"/>
        </w:rPr>
      </w:pPr>
    </w:p>
    <w:sectPr w:rsidR="00C64899" w:rsidRPr="00C64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652883"/>
    <w:multiLevelType w:val="multilevel"/>
    <w:tmpl w:val="EB76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827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899"/>
    <w:rsid w:val="00C64899"/>
    <w:rsid w:val="00E246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EA992"/>
  <w15:chartTrackingRefBased/>
  <w15:docId w15:val="{419743BC-7C45-4B67-91F2-3FA9A8991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8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48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48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48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48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48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48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48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48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8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48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48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48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48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48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48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48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4899"/>
    <w:rPr>
      <w:rFonts w:eastAsiaTheme="majorEastAsia" w:cstheme="majorBidi"/>
      <w:color w:val="272727" w:themeColor="text1" w:themeTint="D8"/>
    </w:rPr>
  </w:style>
  <w:style w:type="paragraph" w:styleId="Title">
    <w:name w:val="Title"/>
    <w:basedOn w:val="Normal"/>
    <w:next w:val="Normal"/>
    <w:link w:val="TitleChar"/>
    <w:uiPriority w:val="10"/>
    <w:qFormat/>
    <w:rsid w:val="00C648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8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8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8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4899"/>
    <w:pPr>
      <w:spacing w:before="160"/>
      <w:jc w:val="center"/>
    </w:pPr>
    <w:rPr>
      <w:i/>
      <w:iCs/>
      <w:color w:val="404040" w:themeColor="text1" w:themeTint="BF"/>
    </w:rPr>
  </w:style>
  <w:style w:type="character" w:customStyle="1" w:styleId="QuoteChar">
    <w:name w:val="Quote Char"/>
    <w:basedOn w:val="DefaultParagraphFont"/>
    <w:link w:val="Quote"/>
    <w:uiPriority w:val="29"/>
    <w:rsid w:val="00C64899"/>
    <w:rPr>
      <w:i/>
      <w:iCs/>
      <w:color w:val="404040" w:themeColor="text1" w:themeTint="BF"/>
    </w:rPr>
  </w:style>
  <w:style w:type="paragraph" w:styleId="ListParagraph">
    <w:name w:val="List Paragraph"/>
    <w:basedOn w:val="Normal"/>
    <w:uiPriority w:val="34"/>
    <w:qFormat/>
    <w:rsid w:val="00C64899"/>
    <w:pPr>
      <w:ind w:left="720"/>
      <w:contextualSpacing/>
    </w:pPr>
  </w:style>
  <w:style w:type="character" w:styleId="IntenseEmphasis">
    <w:name w:val="Intense Emphasis"/>
    <w:basedOn w:val="DefaultParagraphFont"/>
    <w:uiPriority w:val="21"/>
    <w:qFormat/>
    <w:rsid w:val="00C64899"/>
    <w:rPr>
      <w:i/>
      <w:iCs/>
      <w:color w:val="0F4761" w:themeColor="accent1" w:themeShade="BF"/>
    </w:rPr>
  </w:style>
  <w:style w:type="paragraph" w:styleId="IntenseQuote">
    <w:name w:val="Intense Quote"/>
    <w:basedOn w:val="Normal"/>
    <w:next w:val="Normal"/>
    <w:link w:val="IntenseQuoteChar"/>
    <w:uiPriority w:val="30"/>
    <w:qFormat/>
    <w:rsid w:val="00C648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4899"/>
    <w:rPr>
      <w:i/>
      <w:iCs/>
      <w:color w:val="0F4761" w:themeColor="accent1" w:themeShade="BF"/>
    </w:rPr>
  </w:style>
  <w:style w:type="character" w:styleId="IntenseReference">
    <w:name w:val="Intense Reference"/>
    <w:basedOn w:val="DefaultParagraphFont"/>
    <w:uiPriority w:val="32"/>
    <w:qFormat/>
    <w:rsid w:val="00C648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vika</dc:creator>
  <cp:keywords/>
  <dc:description/>
  <cp:lastModifiedBy>az vika</cp:lastModifiedBy>
  <cp:revision>1</cp:revision>
  <dcterms:created xsi:type="dcterms:W3CDTF">2025-09-03T08:25:00Z</dcterms:created>
  <dcterms:modified xsi:type="dcterms:W3CDTF">2025-09-03T08:26:00Z</dcterms:modified>
</cp:coreProperties>
</file>