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sz w:val="40"/>
          <w:szCs w:val="40"/>
        </w:rPr>
        <w:t xml:space="preserve">Day 15 Task — Capstone Project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Practical AI Integration: API Layer &amp; Platform Documentation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Prepared by: Omesh Lakhani (Omesh Kumar)</w:t>
      </w:r>
    </w:p>
    <w:p>
      <w:pPr>
        <w:pStyle w:val="Heading1"/>
        <w:spacing w:after="200" w:before="400"/>
      </w:pPr>
      <w:r>
        <w:t xml:space="preserve">1. Feature Development Continued</w:t>
      </w:r>
    </w:p>
    <w:p>
      <w:pPr>
        <w:spacing w:after="120"/>
      </w:pPr>
      <w:r>
        <w:t xml:space="preserve">Continuing the Smart Expense Categorization AI feature. The API/service layer (categorization_service.py, built on Day 12) remains the core service, with input validation, response validation, and error handling already in place and re-verified today.</w:t>
      </w:r>
    </w:p>
    <w:p>
      <w:pPr>
        <w:pStyle w:val="Heading1"/>
        <w:spacing w:after="200" w:before="400"/>
      </w:pPr>
      <w:r>
        <w:t xml:space="preserve">2. API/Service Layer</w:t>
      </w:r>
    </w:p>
    <w:p>
      <w:pPr>
        <w:spacing w:after="120"/>
      </w:pPr>
      <w:r>
        <w:t xml:space="preserve">Built with FastAPI, exposing: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/categorize   -&gt; categorizes a transaction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 /health       -&gt; service health check</w:t>
      </w:r>
    </w:p>
    <w:p>
      <w:pPr>
        <w:spacing w:after="120"/>
      </w:pPr>
      <w:r>
        <w:t xml:space="preserve">This single service is designed to be called identically from all three HisabDo surfaces (Website, Web App, Mobile App) — there is one AI service, not three separate implementations.</w:t>
      </w:r>
    </w:p>
    <w:p>
      <w:pPr>
        <w:pStyle w:val="Heading1"/>
        <w:spacing w:after="200" w:before="400"/>
      </w:pPr>
      <w:r>
        <w:t xml:space="preserve">3. Validation &amp; Error Handling</w:t>
      </w:r>
    </w:p>
    <w:p>
      <w:pPr>
        <w:pStyle w:val="Heading2"/>
        <w:spacing w:after="150" w:before="300"/>
      </w:pPr>
      <w:r>
        <w:t xml:space="preserve">Input Validation</w:t>
      </w:r>
    </w:p>
    <w:p>
      <w:pPr>
        <w:spacing w:after="120"/>
      </w:pPr>
      <w:r>
        <w:t xml:space="preserve">Enforced via a Pydantic schema: description must be non-empty, amount must be greater than 0, and required fields (transaction_id, description, amount, date) must be present. Invalid requests are rejected with HTTP 422 and a specific field-level message before reaching the AI model.</w:t>
      </w:r>
    </w:p>
    <w:p>
      <w:pPr>
        <w:pStyle w:val="Heading2"/>
        <w:spacing w:after="150" w:before="300"/>
      </w:pPr>
      <w:r>
        <w:t xml:space="preserve">Response Validation</w:t>
      </w:r>
    </w:p>
    <w:p>
      <w:pPr>
        <w:spacing w:after="120"/>
      </w:pPr>
      <w:r>
        <w:t xml:space="preserve">A confidence threshold (0.15) is applied to every model prediction. Predictions below this threshold are not returned as a category — the service instead responds with a 'needs manual review' status, preventing low-certainty guesses from being shown to the user as if reliable.</w:t>
      </w:r>
    </w:p>
    <w:p>
      <w:pPr>
        <w:pStyle w:val="Heading2"/>
        <w:spacing w:after="150" w:before="300"/>
      </w:pPr>
      <w:r>
        <w:t xml:space="preserve">Error Handling</w:t>
      </w:r>
    </w:p>
    <w:p>
      <w:pPr>
        <w:spacing w:after="120"/>
      </w:pPr>
      <w:r>
        <w:t xml:space="preserve">All exceptions inside the service are caught and converted into a structured error response. The service never returns an unhandled crash; every response — success, low-confidence, or internal error — follows the same fixed JSON shape.</w:t>
      </w:r>
    </w:p>
    <w:p>
      <w:pPr>
        <w:pStyle w:val="Heading1"/>
        <w:spacing w:after="200" w:before="400"/>
      </w:pPr>
      <w:r>
        <w:t xml:space="preserve">4. End-to-End Workflow Demonstration</w:t>
      </w:r>
    </w:p>
    <w:p>
      <w:pPr>
        <w:spacing w:after="120"/>
      </w:pPr>
      <w:r>
        <w:t xml:space="preserve">A simulated user session of 5 transactions was run through the full pipeline (app call -&gt; AI service -&gt; validation -&gt; response -&gt; app decision):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Transaction ID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 Behavior (AI Response Applied)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TXN4001</w:t>
            </w:r>
          </w:p>
        </w:tc>
        <w:tc>
          <w:p>
            <w:r>
              <w:rPr>
                <w:sz w:val="18"/>
                <w:szCs w:val="18"/>
              </w:rPr>
              <w:t xml:space="preserve">Auto-fill category: 'Grocery' (confidence 0.252)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TXN4002</w:t>
            </w:r>
          </w:p>
        </w:tc>
        <w:tc>
          <w:p>
            <w:r>
              <w:rPr>
                <w:sz w:val="18"/>
                <w:szCs w:val="18"/>
              </w:rPr>
              <w:t xml:space="preserve">Auto-fill category: 'Transport' (confidence 0.192)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TXN4003</w:t>
            </w:r>
          </w:p>
        </w:tc>
        <w:tc>
          <w:p>
            <w:r>
              <w:rPr>
                <w:sz w:val="18"/>
                <w:szCs w:val="18"/>
              </w:rPr>
              <w:t xml:space="preserve">Show manual category dropdown (input rejected) — Value error, description must not be empty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TXN4004</w:t>
            </w:r>
          </w:p>
        </w:tc>
        <w:tc>
          <w:p>
            <w:r>
              <w:rPr>
                <w:sz w:val="18"/>
                <w:szCs w:val="18"/>
              </w:rPr>
              <w:t xml:space="preserve">Show manual category dropdown (AI unsure) — Low model confidence — category needs manual selection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TXN4005</w:t>
            </w:r>
          </w:p>
        </w:tc>
        <w:tc>
          <w:p>
            <w:r>
              <w:rPr>
                <w:sz w:val="18"/>
                <w:szCs w:val="18"/>
              </w:rPr>
              <w:t xml:space="preserve">Auto-fill category: 'Income' (confidence 0.246)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Result: 3 transactions were auto-categorized, 1 was correctly rejected for invalid input, and 1 was correctly flagged as low-confidence — confirming the workflow handles both the normal and edge-case paths correctly end-to-end.</w:t>
      </w:r>
    </w:p>
    <w:p>
      <w:pPr>
        <w:pStyle w:val="Heading1"/>
        <w:spacing w:after="200" w:before="400"/>
      </w:pPr>
      <w:r>
        <w:t xml:space="preserve">5. Integration Documentation by Platform</w:t>
      </w:r>
    </w:p>
    <w:p>
      <w:pPr>
        <w:pStyle w:val="Heading2"/>
        <w:spacing w:after="150" w:before="300"/>
      </w:pPr>
      <w:r>
        <w:t xml:space="preserve">Website</w:t>
      </w:r>
    </w:p>
    <w:p>
      <w:pPr>
        <w:spacing w:after="120"/>
      </w:pPr>
      <w:r>
        <w:t xml:space="preserve">The main HisabDo marketing website does not have a live transaction ledger, so it does not call /categorize directly for real user data. Instead, it can call the same endpoint with example/demo transactions to power an interactive 'see AI in action' widget for visitors evaluating the product before installing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pattern: client-side fetch() from a demo widget component -&gt; AI service /categorize -&gt; render suggested category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marketing/demonstration only, not tied to a real user account.</w:t>
      </w:r>
    </w:p>
    <w:p>
      <w:pPr>
        <w:pStyle w:val="Heading2"/>
        <w:spacing w:after="150" w:before="300"/>
      </w:pPr>
      <w:r>
        <w:t xml:space="preserve">Web Application</w:t>
      </w:r>
    </w:p>
    <w:p>
      <w:pPr>
        <w:spacing w:after="120"/>
      </w:pPr>
      <w:r>
        <w:t xml:space="preserve">The web app's transaction-entry form calls the AI service through the shared backend (not directly from the browser, to keep the model endpoint behind authentication and rate-limiting).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Web app form -&gt; Web app backend (adds auth/user context) -&gt; AI service /categorize -&gt; response -&gt; backend returns result to the form -&gt; category field auto-fills.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request/response schema as the mobile app, so both surfaces share one integration contract.</w:t>
      </w:r>
    </w:p>
    <w:p>
      <w:pPr>
        <w:pStyle w:val="Heading2"/>
        <w:spacing w:after="150" w:before="300"/>
      </w:pPr>
      <w:r>
        <w:t xml:space="preserve">Mobile Application</w:t>
      </w:r>
    </w:p>
    <w:p>
      <w:pPr>
        <w:spacing w:after="120"/>
      </w:pPr>
      <w:r>
        <w:t xml:space="preserve">Primary integration point, since most day-to-day transaction entry happens here. Called at two points in the app: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manual transaction entry, as the user finishes typing a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Immediately after the OCR receipt-scan feature extracts a description from a photographed receipt, so a scanned receipt is categorized with zero additional typing.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HisabDo's offline-first design, a future iteration would convert this model to an on-device format (e.g., TensorFlow Lite) so mobile categorization also works without an internet connection; the current API-based version is the first working implementation.</w:t>
      </w:r>
    </w:p>
    <w:p>
      <w:pPr>
        <w:pStyle w:val="Heading1"/>
        <w:spacing w:after="200" w:before="400"/>
      </w:pPr>
      <w:r>
        <w:t xml:space="preserve">Submission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Feature: Smart Expense Categorization (continued from Day 10-14).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API/Service Layer: categorization_service.py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&amp; Error Handling: Section 3 above, implemented in the same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Workflow Demo: e2e_workflow_demo.py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Integration Documentation: Section 5 above (Website, Web App, Mobile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Repository: https://github.com/Omesh-kumar/Hisab-do-AL-ML-Intern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HisabDo AI/ML Internship — Day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2026-08-14T08:41:03.511Z</dcterms:created>
  <dcterms:modified xsi:type="dcterms:W3CDTF">2026-08-14T08:41:03.527Z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