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sz w:val="40"/>
          <w:szCs w:val="40"/>
        </w:rPr>
        <w:t xml:space="preserve">Day 11 Task — Capstone Project</w:t>
      </w:r>
    </w:p>
    <w:p>
      <w:pPr>
        <w:spacing w:after="100"/>
        <w:jc w:val="center"/>
      </w:pPr>
      <w:r>
        <w:rPr>
          <w:color w:val="444444"/>
          <w:sz w:val="26"/>
          <w:szCs w:val="26"/>
        </w:rPr>
        <w:t xml:space="preserve">AI POC Upgrade: Realistic Application Data Handling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Prepared by: Omesh Lakhani (Omesh Kumar)</w:t>
      </w:r>
    </w:p>
    <w:p>
      <w:pPr>
        <w:pStyle w:val="Heading1"/>
        <w:spacing w:after="200" w:before="400"/>
      </w:pPr>
      <w:r>
        <w:t xml:space="preserve">1. Feature Continued</w:t>
      </w:r>
    </w:p>
    <w:p>
      <w:pPr>
        <w:spacing w:after="120"/>
      </w:pPr>
      <w:r>
        <w:t xml:space="preserve">Continuing the Smart Expense Categorization feature from Day 10. The Day 10 POC only accepted plain text strings; today's upgrade makes it accept the same structured object HisabDo's real app would send, and adds validation so it behaves safely with real-world messy data.</w:t>
      </w:r>
    </w:p>
    <w:p>
      <w:pPr>
        <w:pStyle w:val="Heading1"/>
        <w:spacing w:after="200" w:before="400"/>
      </w:pPr>
      <w:r>
        <w:t xml:space="preserve">2. Input Data Structure</w:t>
      </w:r>
    </w:p>
    <w:p>
      <w:pPr>
        <w:spacing w:after="120"/>
      </w:pPr>
      <w:r>
        <w:t xml:space="preserve">Each transaction sent to the AI service is now a structured object matching HisabDo's actual transaction fields: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"transaction_id": "TXN1001",        // required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"description": "Grocery shopping",  // required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"amount": 3450,                     // required, must be &gt; 0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"vendor": "Imtiaz Super Market",     // optional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"date": "2026-08-10"                 // required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200" w:before="400"/>
      </w:pPr>
      <w:r>
        <w:t xml:space="preserve">3-4. Realistic Sample Data &amp; Application-Style Input</w:t>
      </w:r>
    </w:p>
    <w:p>
      <w:pPr>
        <w:spacing w:after="120"/>
      </w:pPr>
      <w:r>
        <w:t xml:space="preserve">9 sample transactions were sent to the AI service — 5 realistic, well-formed HisabDo transactions, and 4 intentionally invalid/incomplete ones (empty description, negative amount, non-numeric amount, and a missing field entirely) to test how the system responds to bad data, which is common in real app usage (e.g., a user submitting a form before finishing typing).</w:t>
      </w:r>
    </w:p>
    <w:p>
      <w:pPr>
        <w:pStyle w:val="Heading1"/>
        <w:spacing w:after="200" w:before="400"/>
      </w:pPr>
      <w:r>
        <w:t xml:space="preserve">5-6. Processed Response &amp; Invalid Input Handling</w:t>
      </w:r>
    </w:p>
    <w:p>
      <w:pPr>
        <w:spacing w:after="120"/>
      </w:pPr>
      <w:r>
        <w:t xml:space="preserve">Result: 5 of 9 transactions were successfully categorized; 4 were correctly rejected with a clear, specific error message instead of crashing or silently mis-categorizing bad data.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Transaction ID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Predicted Category / Error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TXN1001</w:t>
            </w:r>
          </w:p>
        </w:tc>
        <w:tc>
          <w:p>
            <w:r>
              <w:rPr>
                <w:sz w:val="20"/>
                <w:szCs w:val="20"/>
              </w:rPr>
              <w:t xml:space="preserve">success</w:t>
            </w:r>
          </w:p>
        </w:tc>
        <w:tc>
          <w:p>
            <w:r>
              <w:rPr>
                <w:sz w:val="20"/>
                <w:szCs w:val="20"/>
              </w:rPr>
              <w:t xml:space="preserve">Grocery (confidence 0.213)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TXN1002</w:t>
            </w:r>
          </w:p>
        </w:tc>
        <w:tc>
          <w:p>
            <w:r>
              <w:rPr>
                <w:sz w:val="20"/>
                <w:szCs w:val="20"/>
              </w:rPr>
              <w:t xml:space="preserve">success</w:t>
            </w:r>
          </w:p>
        </w:tc>
        <w:tc>
          <w:p>
            <w:r>
              <w:rPr>
                <w:sz w:val="20"/>
                <w:szCs w:val="20"/>
              </w:rPr>
              <w:t xml:space="preserve">Transport (confidence 0.291)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TXN1003</w:t>
            </w:r>
          </w:p>
        </w:tc>
        <w:tc>
          <w:p>
            <w:r>
              <w:rPr>
                <w:sz w:val="20"/>
                <w:szCs w:val="20"/>
              </w:rPr>
              <w:t xml:space="preserve">success</w:t>
            </w:r>
          </w:p>
        </w:tc>
        <w:tc>
          <w:p>
            <w:r>
              <w:rPr>
                <w:sz w:val="20"/>
                <w:szCs w:val="20"/>
              </w:rPr>
              <w:t xml:space="preserve">Utilities (confidence 0.32)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TXN1004</w:t>
            </w:r>
          </w:p>
        </w:tc>
        <w:tc>
          <w:p>
            <w:r>
              <w:rPr>
                <w:sz w:val="20"/>
                <w:szCs w:val="20"/>
              </w:rPr>
              <w:t xml:space="preserve">success</w:t>
            </w:r>
          </w:p>
        </w:tc>
        <w:tc>
          <w:p>
            <w:r>
              <w:rPr>
                <w:sz w:val="20"/>
                <w:szCs w:val="20"/>
              </w:rPr>
              <w:t xml:space="preserve">Food &amp; Dining (confidence 0.281)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TXN1005</w:t>
            </w:r>
          </w:p>
        </w:tc>
        <w:tc>
          <w:p>
            <w:r>
              <w:rPr>
                <w:sz w:val="20"/>
                <w:szCs w:val="20"/>
              </w:rPr>
              <w:t xml:space="preserve">success</w:t>
            </w:r>
          </w:p>
        </w:tc>
        <w:tc>
          <w:p>
            <w:r>
              <w:rPr>
                <w:sz w:val="20"/>
                <w:szCs w:val="20"/>
              </w:rPr>
              <w:t xml:space="preserve">Education (confidence 0.277)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TXN1006</w:t>
            </w:r>
          </w:p>
        </w:tc>
        <w:tc>
          <w:tcPr>
            <w:shd w:fill="FCE8E8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shd w:fill="FCE8E8" w:val="clear"/>
          </w:tcPr>
          <w:p>
            <w:r>
              <w:rPr>
                <w:sz w:val="20"/>
                <w:szCs w:val="20"/>
              </w:rPr>
              <w:t xml:space="preserve">Missing required field: 'description'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TXN1007</w:t>
            </w:r>
          </w:p>
        </w:tc>
        <w:tc>
          <w:tcPr>
            <w:shd w:fill="FCE8E8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shd w:fill="FCE8E8" w:val="clear"/>
          </w:tcPr>
          <w:p>
            <w:r>
              <w:rPr>
                <w:sz w:val="20"/>
                <w:szCs w:val="20"/>
              </w:rPr>
              <w:t xml:space="preserve">Field 'amount' must be greater than 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TXN1008</w:t>
            </w:r>
          </w:p>
        </w:tc>
        <w:tc>
          <w:tcPr>
            <w:shd w:fill="FCE8E8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shd w:fill="FCE8E8" w:val="clear"/>
          </w:tcPr>
          <w:p>
            <w:r>
              <w:rPr>
                <w:sz w:val="20"/>
                <w:szCs w:val="20"/>
              </w:rPr>
              <w:t xml:space="preserve">Field 'amount' must be a valid number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TXN1009</w:t>
            </w:r>
          </w:p>
        </w:tc>
        <w:tc>
          <w:tcPr>
            <w:shd w:fill="FCE8E8" w:val="clear"/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shd w:fill="FCE8E8" w:val="clear"/>
          </w:tcPr>
          <w:p>
            <w:r>
              <w:rPr>
                <w:sz w:val="20"/>
                <w:szCs w:val="20"/>
              </w:rPr>
              <w:t xml:space="preserve">Missing required field: 'description'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This validation layer is essential before this feature can be connected to a real backend — it guarantees the AI service never receives malformed data and always returns a predictable, structured response (success or a specific error), which the application layer can handle gracefully.</w:t>
      </w:r>
    </w:p>
    <w:p>
      <w:pPr>
        <w:pStyle w:val="Heading1"/>
        <w:spacing w:after="200" w:before="400"/>
      </w:pPr>
      <w:r>
        <w:t xml:space="preserve">7. Three Realistic Use Cases</w:t>
      </w:r>
    </w:p>
    <w:p>
      <w:pPr>
        <w:pStyle w:val="Heading2"/>
        <w:spacing w:after="150" w:before="300"/>
      </w:pPr>
      <w:r>
        <w:t xml:space="preserve">Use Case 1 — Manual Transaction Entry</w:t>
      </w:r>
    </w:p>
    <w:p>
      <w:pPr>
        <w:spacing w:after="120"/>
      </w:pPr>
      <w:r>
        <w:t xml:space="preserve">A user types 'Grocery shopping at Imtiaz Super Market' while adding a new expense in the mobile app. As soon as they move to the amount field, the AI service returns 'Grocery' and it is pre-filled as the category, saving the user a manual selection step.</w:t>
      </w:r>
    </w:p>
    <w:p>
      <w:pPr>
        <w:pStyle w:val="Heading2"/>
        <w:spacing w:after="150" w:before="300"/>
      </w:pPr>
      <w:r>
        <w:t xml:space="preserve">Use Case 2 — OCR-to-Categorization Pipeline</w:t>
      </w:r>
    </w:p>
    <w:p>
      <w:pPr>
        <w:spacing w:after="120"/>
      </w:pPr>
      <w:r>
        <w:t xml:space="preserve">A user scans a restaurant receipt using the OCR feature (Day 8/Day 10 architecture). The extracted text ('Kolachi Restaurant, Rs 4200') is passed directly into this categorization service, which returns 'Food &amp; Dining' — meaning a scanned receipt is fully categorized with zero manual typing.</w:t>
      </w:r>
    </w:p>
    <w:p>
      <w:pPr>
        <w:pStyle w:val="Heading2"/>
        <w:spacing w:after="150" w:before="300"/>
      </w:pPr>
      <w:r>
        <w:t xml:space="preserve">Use Case 3 — Bulk Historical Data Cleanup</w:t>
      </w:r>
    </w:p>
    <w:p>
      <w:pPr>
        <w:spacing w:after="120"/>
      </w:pPr>
      <w:r>
        <w:t xml:space="preserve">A user importing old transaction history (e.g., from a spreadsheet) sends many transactions at once. The validation layer filters out incomplete rows (e.g., rows with a missing amount) and flags them for manual review, while all valid rows are auto-categorized in a single batch — turning a tedious manual cleanup task into a mostly-automatic one.</w:t>
      </w:r>
    </w:p>
    <w:p>
      <w:pPr>
        <w:pStyle w:val="Heading1"/>
        <w:spacing w:after="200" w:before="400"/>
      </w:pPr>
      <w:r>
        <w:t xml:space="preserve">Integration Architecture</w:t>
      </w:r>
    </w:p>
    <w:p>
      <w:pPr>
        <w:spacing w:after="120"/>
      </w:pPr>
      <w:r>
        <w:rPr>
          <w:b/>
          <w:bCs/>
        </w:rPr>
        <w:t xml:space="preserve">Application → Backend/API → AI Service → Response → 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Application: Mobile/Web app collects transaction details (description, amount, date, vendor) from the user or OCR.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Backend/API: A lightweight FastAPI endpoint (e.g., POST /categorize) receives the structured transaction JSON and forwards it to the AI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Service: The categorization module (this POC) validates the input, then runs the TF-IDF + Logistic Regression model to predict a category.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Response: A structured JSON response is returned — either {status: success, predicted_category, confidence} or {status: error, error message} — never an unhandled crash.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Application: The app auto-fills the category on success, or silently skips auto-fill (falling back to manual selection) on validation error, without disrupting the user's flow.</w:t>
      </w:r>
    </w:p>
    <w:p>
      <w:pPr>
        <w:pStyle w:val="Heading1"/>
        <w:spacing w:after="200" w:before="400"/>
      </w:pPr>
      <w:r>
        <w:t xml:space="preserve">Required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Model: Yes — TF-IDF + Logistic Regression text classifier (this is the core of the feature).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Service: Yes — the model runs inside a Python-based service/function, callable from the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Yes (lightweight) — needed to store each user's manual corrections over time for personalization, and to retrain periodically.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AI API: Not required for this feature — it runs fully on-device/self-hosted, consistent with HisabDo's offline-first, privacy-first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Engineering: Not required — this is a traditional ML classifier, not an LLM-based feature (prompt engineering would apply to the AI Chatbot feature instead).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Processing: Yes, for periodic model retraining using accumulated correction data (e.g., a weekly batch job), not for real-time predictions which must stay fast and synchronous.</w:t>
      </w:r>
    </w:p>
    <w:p>
      <w:pPr>
        <w:pStyle w:val="Heading1"/>
        <w:spacing w:after="200" w:before="400"/>
      </w:pPr>
      <w:r>
        <w:t xml:space="preserve">Submission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 Working POC: expense_categorizer_poc_v2.py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Dataset/Input: day11_sample_input.json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Outputs: day11_sample_output.json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Architecture: included above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Use Cases: included above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Repository: https://github.com/Omesh-kumar/Hisab-do-AL-ML-Intern</w:t>
      </w:r>
    </w:p>
    <w:sectPr>
      <w:headerReference w:type="default" r:id="rId7"/>
      <w:footerReference w:type="default" r:id="rId8"/>
      <w:pgSz w:w="11906" w:h="16838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HisabDo AI/ML Internship — Day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2026-08-11T16:02:33.860Z</dcterms:created>
  <dcterms:modified xsi:type="dcterms:W3CDTF">2026-08-11T16:02:33.872Z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