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0"/>
          <w:szCs w:val="40"/>
        </w:rPr>
        <w:t xml:space="preserve">Day 12 Task — Capstone Project</w:t>
      </w:r>
    </w:p>
    <w:p>
      <w:pPr>
        <w:spacing w:after="100"/>
        <w:jc w:val="center"/>
      </w:pPr>
      <w:r>
        <w:rPr>
          <w:color w:val="444444"/>
          <w:sz w:val="26"/>
          <w:szCs w:val="26"/>
        </w:rPr>
        <w:t xml:space="preserve">AI Service / API Layer: Smart Expense Categorization</w:t>
      </w:r>
    </w:p>
    <w:p>
      <w:pPr>
        <w:spacing w:after="600"/>
        <w:jc w:val="center"/>
      </w:pPr>
      <w:r>
        <w:rPr>
          <w:i/>
          <w:iCs/>
          <w:color w:val="555555"/>
          <w:sz w:val="22"/>
          <w:szCs w:val="22"/>
        </w:rPr>
        <w:t xml:space="preserve">Prepared by: Omesh Lakhani (Omesh Kumar)</w:t>
      </w:r>
    </w:p>
    <w:p>
      <w:pPr>
        <w:pStyle w:val="Heading1"/>
        <w:spacing w:after="200" w:before="400"/>
      </w:pPr>
      <w:r>
        <w:t xml:space="preserve">1. Overview</w:t>
      </w:r>
    </w:p>
    <w:p>
      <w:pPr>
        <w:spacing w:after="120"/>
      </w:pPr>
      <w:r>
        <w:t xml:space="preserve">The Smart Expense Categorization feature (Day 10-11) has been wrapped in a real API service layer using FastAPI, so it can be called over HTTP exactly as HisabDo's mobile/web app backend would call it in production. This turns the feature from a standalone script into an application-ready service.</w:t>
      </w:r>
    </w:p>
    <w:p>
      <w:pPr>
        <w:pStyle w:val="Heading1"/>
        <w:spacing w:after="200" w:before="400"/>
      </w:pPr>
      <w:r>
        <w:t xml:space="preserve">2. Implementation Summary</w:t>
      </w:r>
    </w:p>
    <w:p>
      <w:pPr>
        <w:pStyle w:val="Heading2"/>
        <w:spacing w:after="150" w:before="300"/>
      </w:pPr>
      <w:r>
        <w:t xml:space="preserve">2.1 Structured Input Handling</w:t>
      </w:r>
    </w:p>
    <w:p>
      <w:pPr>
        <w:spacing w:after="120"/>
      </w:pPr>
      <w:r>
        <w:t xml:space="preserve">Input validation is now enforced automatically using a Pydantic schema (TransactionRequest), which rejects malformed requests (empty description, non-positive amount) before they ever reach the AI model, returning a standard HTTP 422 response with a clear message.</w:t>
      </w:r>
    </w:p>
    <w:p>
      <w:pPr>
        <w:pStyle w:val="Heading2"/>
        <w:spacing w:after="150" w:before="300"/>
      </w:pPr>
      <w:r>
        <w:t xml:space="preserve">2.2 AI Request Processing</w:t>
      </w:r>
    </w:p>
    <w:p>
      <w:pPr>
        <w:spacing w:after="120"/>
      </w:pPr>
      <w:r>
        <w:t xml:space="preserve">The /categorize endpoint receives a validated transaction, runs it through the TF-IDF + Logistic Regression model, and measures processing latency for every request.</w:t>
      </w:r>
    </w:p>
    <w:p>
      <w:pPr>
        <w:pStyle w:val="Heading2"/>
        <w:spacing w:after="150" w:before="300"/>
      </w:pPr>
      <w:r>
        <w:t xml:space="preserve">2.3 Response Validation (Hallucination/Low-Confidence Guard)</w:t>
      </w:r>
    </w:p>
    <w:p>
      <w:pPr>
        <w:spacing w:after="120"/>
      </w:pPr>
      <w:r>
        <w:t xml:space="preserve">A confidence threshold (0.15) is enforced on every prediction. If the model's confidence is below this threshold, the service does NOT return a possibly-wrong category — it instead returns a structured 'needs manual review' response, so the app never silently shows a low-confidence guess as if it were certain.</w:t>
      </w:r>
    </w:p>
    <w:p>
      <w:pPr>
        <w:pStyle w:val="Heading2"/>
        <w:spacing w:after="150" w:before="300"/>
      </w:pPr>
      <w:r>
        <w:t xml:space="preserve">2.4 Error Handling</w:t>
      </w:r>
    </w:p>
    <w:p>
      <w:pPr>
        <w:spacing w:after="120"/>
      </w:pPr>
      <w:r>
        <w:t xml:space="preserve">All exceptions are caught inside the endpoint itself, so the service never returns an unhandled crash. Every response — success, low-confidence, or internal error — follows the same structured CategorizationResponse shape, making it predictable for the app to consume.</w:t>
      </w:r>
    </w:p>
    <w:p>
      <w:pPr>
        <w:pStyle w:val="Heading2"/>
        <w:spacing w:after="150" w:before="300"/>
      </w:pPr>
      <w:r>
        <w:t xml:space="preserve">2.5 API / Service Layer</w:t>
      </w:r>
    </w:p>
    <w:p>
      <w:pPr>
        <w:spacing w:after="120"/>
      </w:pPr>
      <w:r>
        <w:t xml:space="preserve">Built with FastAPI. Two endpoints: POST /categorize (main feature) and GET /health (service health check, useful for monitoring/uptime checks once deployed).</w:t>
      </w:r>
    </w:p>
    <w:p>
      <w:pPr>
        <w:pStyle w:val="Heading1"/>
        <w:spacing w:after="200" w:before="400"/>
      </w:pPr>
      <w:r>
        <w:t xml:space="preserve">3. Live Test Results</w:t>
      </w:r>
    </w:p>
    <w:p>
      <w:pPr>
        <w:spacing w:after="120"/>
      </w:pPr>
      <w:r>
        <w:t xml:space="preserve">The API was tested end-to-end (via FastAPI's TestClient, simulating real HTTP calls) with 6 requests: 3 well-formed transactions, 1 nonsense/gibberish description (to test the confidence guard), and 2 invalid requests (empty description, negative amount).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F5496" w:val="clear"/>
          </w:tcPr>
          <w:p>
            <w:r>
              <w:rPr>
                <w:b/>
                <w:bCs/>
                <w:color w:val="FFFFFF"/>
                <w:sz w:val="20"/>
                <w:szCs w:val="20"/>
              </w:rPr>
              <w:t xml:space="preserve">Transaction ID</w:t>
            </w:r>
          </w:p>
        </w:tc>
        <w:tc>
          <w:tcPr>
            <w:shd w:fill="2F5496" w:val="clear"/>
          </w:tcPr>
          <w:p>
            <w:r>
              <w:rPr>
                <w:b/>
                <w:bCs/>
                <w:color w:val="FFFFFF"/>
                <w:sz w:val="20"/>
                <w:szCs w:val="20"/>
              </w:rPr>
              <w:t xml:space="preserve">HTTP Status</w:t>
            </w:r>
          </w:p>
        </w:tc>
        <w:tc>
          <w:tcPr>
            <w:shd w:fill="2F5496" w:val="clear"/>
          </w:tcPr>
          <w:p>
            <w:r>
              <w:rPr>
                <w:b/>
                <w:bCs/>
                <w:color w:val="FFFFFF"/>
                <w:sz w:val="20"/>
                <w:szCs w:val="20"/>
              </w:rPr>
              <w:t xml:space="preserve">Result</w:t>
            </w:r>
          </w:p>
        </w:tc>
      </w:tr>
      <w:tr>
        <w:tc>
          <w:p>
            <w:r>
              <w:rPr>
                <w:sz w:val="20"/>
                <w:szCs w:val="20"/>
              </w:rPr>
              <w:t xml:space="preserve">TXN2001</w:t>
            </w:r>
          </w:p>
        </w:tc>
        <w:tc>
          <w:p>
            <w:r>
              <w:rPr>
                <w:sz w:val="20"/>
                <w:szCs w:val="20"/>
              </w:rPr>
              <w:t xml:space="preserve">200</w:t>
            </w:r>
          </w:p>
        </w:tc>
        <w:tc>
          <w:p>
            <w:r>
              <w:rPr>
                <w:sz w:val="20"/>
                <w:szCs w:val="20"/>
              </w:rPr>
              <w:t xml:space="preserve">Grocery (confidence 0.213, 2.64ms)</w:t>
            </w:r>
          </w:p>
        </w:tc>
      </w:tr>
      <w:tr>
        <w:tc>
          <w:p>
            <w:r>
              <w:rPr>
                <w:sz w:val="20"/>
                <w:szCs w:val="20"/>
              </w:rPr>
              <w:t xml:space="preserve">TXN2002</w:t>
            </w:r>
          </w:p>
        </w:tc>
        <w:tc>
          <w:p>
            <w:r>
              <w:rPr>
                <w:sz w:val="20"/>
                <w:szCs w:val="20"/>
              </w:rPr>
              <w:t xml:space="preserve">200</w:t>
            </w:r>
          </w:p>
        </w:tc>
        <w:tc>
          <w:p>
            <w:r>
              <w:rPr>
                <w:sz w:val="20"/>
                <w:szCs w:val="20"/>
              </w:rPr>
              <w:t xml:space="preserve">Transport (confidence 0.291, 1.44ms)</w:t>
            </w:r>
          </w:p>
        </w:tc>
      </w:tr>
      <w:tr>
        <w:tc>
          <w:p>
            <w:r>
              <w:rPr>
                <w:sz w:val="20"/>
                <w:szCs w:val="20"/>
              </w:rPr>
              <w:t xml:space="preserve">TXN2003</w:t>
            </w:r>
          </w:p>
        </w:tc>
        <w:tc>
          <w:p>
            <w:r>
              <w:rPr>
                <w:sz w:val="20"/>
                <w:szCs w:val="20"/>
              </w:rPr>
              <w:t xml:space="preserve">200</w:t>
            </w:r>
          </w:p>
        </w:tc>
        <w:tc>
          <w:p>
            <w:r>
              <w:rPr>
                <w:sz w:val="20"/>
                <w:szCs w:val="20"/>
              </w:rPr>
              <w:t xml:space="preserve">Utilities (confidence 0.32, 1.49ms)</w:t>
            </w:r>
          </w:p>
        </w:tc>
      </w:tr>
      <w:tr>
        <w:tc>
          <w:p>
            <w:r>
              <w:rPr>
                <w:sz w:val="20"/>
                <w:szCs w:val="20"/>
              </w:rPr>
              <w:t xml:space="preserve">TXN2004</w:t>
            </w:r>
          </w:p>
        </w:tc>
        <w:tc>
          <w:p>
            <w:r>
              <w:rPr>
                <w:sz w:val="20"/>
                <w:szCs w:val="20"/>
              </w:rPr>
              <w:t xml:space="preserve">200</w:t>
            </w:r>
          </w:p>
        </w:tc>
        <w:tc>
          <w:p>
            <w:r>
              <w:rPr>
                <w:sz w:val="20"/>
                <w:szCs w:val="20"/>
              </w:rPr>
              <w:t xml:space="preserve">Rejected: Low model confidence — category needs manual selection</w:t>
            </w:r>
          </w:p>
        </w:tc>
      </w:tr>
      <w:tr>
        <w:tc>
          <w:p>
            <w:r>
              <w:rPr>
                <w:sz w:val="20"/>
                <w:szCs w:val="20"/>
              </w:rPr>
              <w:t xml:space="preserve">TXN2005</w:t>
            </w:r>
          </w:p>
        </w:tc>
        <w:tc>
          <w:p>
            <w:r>
              <w:rPr>
                <w:sz w:val="20"/>
                <w:szCs w:val="20"/>
              </w:rPr>
              <w:t xml:space="preserve">422</w:t>
            </w:r>
          </w:p>
        </w:tc>
        <w:tc>
          <w:p>
            <w:r>
              <w:rPr>
                <w:sz w:val="20"/>
                <w:szCs w:val="20"/>
              </w:rPr>
              <w:t xml:space="preserve">Validation error: Value error, description must not be empty</w:t>
            </w:r>
          </w:p>
        </w:tc>
      </w:tr>
      <w:tr>
        <w:tc>
          <w:p>
            <w:r>
              <w:rPr>
                <w:sz w:val="20"/>
                <w:szCs w:val="20"/>
              </w:rPr>
              <w:t xml:space="preserve">TXN2006</w:t>
            </w:r>
          </w:p>
        </w:tc>
        <w:tc>
          <w:p>
            <w:r>
              <w:rPr>
                <w:sz w:val="20"/>
                <w:szCs w:val="20"/>
              </w:rPr>
              <w:t xml:space="preserve">422</w:t>
            </w:r>
          </w:p>
        </w:tc>
        <w:tc>
          <w:p>
            <w:r>
              <w:rPr>
                <w:sz w:val="20"/>
                <w:szCs w:val="20"/>
              </w:rPr>
              <w:t xml:space="preserve">Validation error: Value error, amount must be greater than 0</w:t>
            </w:r>
          </w:p>
        </w:tc>
      </w:tr>
    </w:tbl>
    <w:p>
      <w:pPr>
        <w:spacing w:after="200"/>
      </w:pPr>
    </w:p>
    <w:p>
      <w:pPr>
        <w:spacing w:after="120"/>
      </w:pPr>
      <w:r>
        <w:t xml:space="preserve">Result: all 3 valid transactions were categorized correctly, the gibberish input was correctly flagged as low-confidence rather than guessed, and both invalid requests were rejected at the validation layer with HTTP 422 and a specific error message — confirming the service behaves safely and predictably.</w:t>
      </w:r>
    </w:p>
    <w:p>
      <w:pPr>
        <w:pStyle w:val="Heading1"/>
        <w:spacing w:after="200" w:before="400"/>
      </w:pPr>
      <w:r>
        <w:t xml:space="preserve">4. Integration Architecture</w:t>
      </w:r>
    </w:p>
    <w:p>
      <w:pPr>
        <w:spacing w:after="120"/>
      </w:pPr>
      <w:r>
        <w:rPr>
          <w:b/>
          <w:bCs/>
        </w:rPr>
        <w:t xml:space="preserve">User → Website/Web App/Mobile App → Backend/API → AI Service → AI Model/API → Response</w:t>
      </w:r>
    </w:p>
    <w:p>
      <w:pPr>
        <w:pStyle w:val="ListParagraph"/>
        <w:numPr>
          <w:ilvl w:val="0"/>
          <w:numId w:val="2"/>
        </w:numPr>
        <w:spacing w:after="60"/>
      </w:pPr>
      <w:r>
        <w:t xml:space="preserve">User: Adds or edits a transaction in the HisabDo app (or scans a receipt via OCR).</w:t>
      </w:r>
    </w:p>
    <w:p>
      <w:pPr>
        <w:pStyle w:val="ListParagraph"/>
        <w:numPr>
          <w:ilvl w:val="0"/>
          <w:numId w:val="2"/>
        </w:numPr>
        <w:spacing w:after="60"/>
      </w:pPr>
      <w:r>
        <w:t xml:space="preserve">Website/Web App/Mobile App: Captures the transaction fields and calls the app's backend.</w:t>
      </w:r>
    </w:p>
    <w:p>
      <w:pPr>
        <w:pStyle w:val="ListParagraph"/>
        <w:numPr>
          <w:ilvl w:val="0"/>
          <w:numId w:val="2"/>
        </w:numPr>
        <w:spacing w:after="60"/>
      </w:pPr>
      <w:r>
        <w:t xml:space="preserve">Backend/API: HisabDo's main backend forwards the transaction to the AI Service's POST /categorize endpoint.</w:t>
      </w:r>
    </w:p>
    <w:p>
      <w:pPr>
        <w:pStyle w:val="ListParagraph"/>
        <w:numPr>
          <w:ilvl w:val="0"/>
          <w:numId w:val="2"/>
        </w:numPr>
        <w:spacing w:after="60"/>
      </w:pPr>
      <w:r>
        <w:t xml:space="preserve">AI Service: This FastAPI service (categorization_service.py) validates the request.</w:t>
      </w:r>
    </w:p>
    <w:p>
      <w:pPr>
        <w:pStyle w:val="ListParagraph"/>
        <w:numPr>
          <w:ilvl w:val="0"/>
          <w:numId w:val="2"/>
        </w:numPr>
        <w:spacing w:after="60"/>
      </w:pPr>
      <w:r>
        <w:t xml:space="preserve">AI Model/API: The TF-IDF + Logistic Regression model predicts a category and confidence score.</w:t>
      </w:r>
    </w:p>
    <w:p>
      <w:pPr>
        <w:pStyle w:val="ListParagraph"/>
        <w:numPr>
          <w:ilvl w:val="0"/>
          <w:numId w:val="2"/>
        </w:numPr>
        <w:spacing w:after="60"/>
      </w:pPr>
      <w:r>
        <w:t xml:space="preserve">Response: A structured JSON result flows back through the same chain — AI Service → Backend/API → App — where it either auto-fills the category or falls back to manual selection.</w:t>
      </w:r>
    </w:p>
    <w:p>
      <w:pPr>
        <w:pStyle w:val="Heading1"/>
        <w:spacing w:after="200" w:before="400"/>
      </w:pPr>
      <w:r>
        <w:t xml:space="preserve">5. Additional Research</w:t>
      </w:r>
    </w:p>
    <w:p>
      <w:pPr>
        <w:pStyle w:val="Heading2"/>
        <w:spacing w:after="150" w:before="300"/>
      </w:pPr>
      <w:r>
        <w:t xml:space="preserve">Data Privacy Considerations</w:t>
      </w:r>
    </w:p>
    <w:p>
      <w:pPr>
        <w:spacing w:after="120"/>
      </w:pPr>
      <w:r>
        <w:t xml:space="preserve">Since the model runs on lightweight, self-hosted logic (not a third-party LLM API), transaction descriptions never need to leave HisabDo's own infrastructure or the user's device. This matters because expense descriptions can reveal sensitive financial behavior (medical spending, debts, income sources) — keeping processing local/self-hosted avoids sending this data to an external AI provider.</w:t>
      </w:r>
    </w:p>
    <w:p>
      <w:pPr>
        <w:pStyle w:val="Heading2"/>
        <w:spacing w:after="150" w:before="300"/>
      </w:pPr>
      <w:r>
        <w:t xml:space="preserve">API Cost Considerations</w:t>
      </w:r>
    </w:p>
    <w:p>
      <w:pPr>
        <w:spacing w:after="120"/>
      </w:pPr>
      <w:r>
        <w:t xml:space="preserve">Because this feature uses a self-hosted scikit-learn model rather than a paid LLM API (e.g., per-token pricing), there is no per-request cost — a major advantage at scale, since every transaction a user adds would otherwise trigger a billed API call.</w:t>
      </w:r>
    </w:p>
    <w:p>
      <w:pPr>
        <w:pStyle w:val="Heading2"/>
        <w:spacing w:after="150" w:before="300"/>
      </w:pPr>
      <w:r>
        <w:t xml:space="preserve">Response Latency</w:t>
      </w:r>
    </w:p>
    <w:p>
      <w:pPr>
        <w:spacing w:after="120"/>
      </w:pPr>
      <w:r>
        <w:t xml:space="preserve">Observed latency in testing was under 3ms per request (excluding network time), well within the sub-100ms range needed for the categorization to feel instant as the user types — this would not be achievable with a round-trip call to an external LLM API.</w:t>
      </w:r>
    </w:p>
    <w:p>
      <w:pPr>
        <w:pStyle w:val="Heading2"/>
        <w:spacing w:after="150" w:before="300"/>
      </w:pPr>
      <w:r>
        <w:t xml:space="preserve">Rate Limits</w:t>
      </w:r>
    </w:p>
    <w:p>
      <w:pPr>
        <w:spacing w:after="120"/>
      </w:pPr>
      <w:r>
        <w:t xml:space="preserve">Since there's no external API dependency, there are no third-party rate limits to worry about for this specific feature. However, the self-hosted service itself should still have basic rate-limiting (e.g., per-user request caps) to prevent abuse if exposed publicly.</w:t>
      </w:r>
    </w:p>
    <w:p>
      <w:pPr>
        <w:pStyle w:val="Heading2"/>
        <w:spacing w:after="150" w:before="300"/>
      </w:pPr>
      <w:r>
        <w:t xml:space="preserve">Security Concerns</w:t>
      </w:r>
    </w:p>
    <w:p>
      <w:pPr>
        <w:spacing w:after="120"/>
      </w:pPr>
      <w:r>
        <w:t xml:space="preserve">The API only accepts a narrow, validated schema (no free-form code execution), reducing injection risk. In production, the endpoint would additionally require authentication (e.g., a user session token) so one user cannot query or affect another user's categorization/personalization data.</w:t>
      </w:r>
    </w:p>
    <w:p>
      <w:pPr>
        <w:pStyle w:val="Heading2"/>
        <w:spacing w:after="150" w:before="300"/>
      </w:pPr>
      <w:r>
        <w:t xml:space="preserve">Hallucination / Error Handling</w:t>
      </w:r>
    </w:p>
    <w:p>
      <w:pPr>
        <w:spacing w:after="120"/>
      </w:pPr>
      <w:r>
        <w:t xml:space="preserve">Traditional ML classifiers like this one don't 'hallucinate' the way generative LLMs do, but they can be confidently wrong on unfamiliar text. The confidence-threshold guard implemented in Section 2.3 is this project's mitigation: low-confidence predictions are withheld rather than shown as if certain, and all failures return a structured, explainable error instead of crashing.</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HisabDo AI/ML Internship — Day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2026-08-12T11:00:21.470Z</dcterms:created>
  <dcterms:modified xsi:type="dcterms:W3CDTF">2026-08-12T11:00:21.482Z</dcterms:modified>
</cp:coreProperties>
</file>

<file path=docProps/custom.xml><?xml version="1.0" encoding="utf-8"?>
<Properties xmlns="http://schemas.openxmlformats.org/officeDocument/2006/custom-properties" xmlns:vt="http://schemas.openxmlformats.org/officeDocument/2006/docPropsVTypes"/>
</file>