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Проект :VTKMD</w:t>
      </w:r>
      <w:r>
        <w:t xml:space="preserve"> </w:t>
      </w:r>
      <w:r>
        <w:t xml:space="preserve">Общее количество обращений: 448</w:t>
      </w:r>
      <w:r>
        <w:t xml:space="preserve"> </w:t>
      </w:r>
      <w:r>
        <w:t xml:space="preserve">Период: C 2026-02-01 по 2026-02-28.</w:t>
      </w:r>
    </w:p>
    <w:bookmarkStart w:id="9" w:name="Xa4c2054c5746950f32fe963ff2c5115f3cf3ce5"/>
    <w:p>
      <w:pPr>
        <w:pStyle w:val="3"/>
      </w:pPr>
      <w:r>
        <w:t xml:space="preserve">Таблица суммаризации обращений</w:t>
      </w:r>
      <w:r>
        <w:rPr>
          <w:b/>
          <w:bCs/>
        </w:rPr>
        <w:t xml:space="preserve">Сводная таблица – агрегированная классификация тикетов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5"/>
        <w:gridCol w:w="1253"/>
        <w:gridCol w:w="1595"/>
        <w:gridCol w:w="2450"/>
        <w:gridCol w:w="15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Классы обращений</w:t>
            </w:r>
          </w:p>
        </w:tc>
        <w:tc>
          <w:tcPr/>
          <w:p>
            <w:pPr>
              <w:pStyle w:val="Compact"/>
            </w:pPr>
            <w:r>
              <w:t xml:space="preserve">Примеры тикетов (id)</w:t>
            </w:r>
          </w:p>
        </w:tc>
        <w:tc>
          <w:tcPr/>
          <w:p>
            <w:pPr>
              <w:pStyle w:val="Compact"/>
            </w:pPr>
            <w:r>
              <w:t xml:space="preserve">Кол‑во ( % от всего ≈ 233 )</w:t>
            </w:r>
          </w:p>
        </w:tc>
        <w:tc>
          <w:tcPr/>
          <w:p>
            <w:pPr>
              <w:pStyle w:val="Compact"/>
            </w:pPr>
            <w:r>
              <w:t xml:space="preserve">Типичный ответ оператора (ключевая мысль)</w:t>
            </w:r>
          </w:p>
        </w:tc>
        <w:tc>
          <w:tcPr/>
          <w:p>
            <w:pPr>
              <w:pStyle w:val="Compact"/>
            </w:pPr>
            <w:r>
              <w:t xml:space="preserve">Задачи в Jira (кол‑во,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Ставка не снижается после зарплатных зачислений</w:t>
            </w:r>
          </w:p>
        </w:tc>
        <w:tc>
          <w:tcPr/>
          <w:p>
            <w:pPr>
              <w:pStyle w:val="Compact"/>
            </w:pPr>
            <w:r>
              <w:t xml:space="preserve">5173392, 5176267, 5217518, 5178731, 5204730, 5198340, 5200728, 5206681, 5183019, 5181821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146 (≈ 63 %)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Ставка будет снижена в течение 3 рабочих дней, излишне уплаченные средства вернутся на счёт списания; необходимо подтвердить выполнение условий «Как зарплатный» (зачисления ≥ 2 мес. подряд, требуемая сумма и т.д.).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 → VTKMD‑4218, VTKMD‑4244, VTKMD‑4630, VTKMD‑4268, VTKMD‑4546, VTKMD‑4231, VTKMD‑4307, VTKMD‑4298, VTKMD‑4573, VTKMD‑4311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Ошибка снижения ставки в корпоративной программе</w:t>
            </w:r>
          </w:p>
        </w:tc>
        <w:tc>
          <w:tcPr/>
          <w:p>
            <w:pPr>
              <w:pStyle w:val="Compact"/>
            </w:pPr>
            <w:r>
              <w:t xml:space="preserve">5177515, 5176547, 5184539, 5173084, 5237007, 5197907, 5186926, 5213463, 5205571, 5209277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 (≈ 14 %)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Для корректного применения корпоративной программы требуется подтверждение UUID (Sber Team ID) и статус «зарплатный клиент». После исправления система автоматически скорректирует ставку.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 → VTKMD‑4255, VTKMD‑4247, VTKMD‑4319, VTKMD‑4355, VTKMD‑4260, VTKMD‑4675, VTKMD‑4634, VTKMD‑4394, VTKMD‑4495, VTKMD‑4283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Техническая ошибка при создании кредитного договора</w:t>
            </w:r>
          </w:p>
        </w:tc>
        <w:tc>
          <w:tcPr/>
          <w:p>
            <w:pPr>
              <w:pStyle w:val="Compact"/>
            </w:pPr>
            <w:r>
              <w:t xml:space="preserve">5200545, 5170049, 5181478, 5197523, 5188496, 5213801, 5183006, 5185466, 5234561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 (≈ 8 %)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Ошибка исправлена, кредитный документ успешно сформирован; при необходимости проверьте корректность данных в системе и повторно запустите процесс.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 → VTKMD‑4489, VTKMD‑4305, VTKMD‑4304, VTKMD‑4434, VTKMD‑4608, VTKMD‑4384, VTKMD‑4329, VTKMD‑4769, VTKMD‑4594, VTKMD‑4211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Некорректные данные в личном кабинете</w:t>
            </w:r>
          </w:p>
        </w:tc>
        <w:tc>
          <w:tcPr/>
          <w:p>
            <w:pPr>
              <w:pStyle w:val="Compact"/>
            </w:pPr>
            <w:r>
              <w:t xml:space="preserve">5201538, 5235138, 5206317, 5183671, 5185584, 5174290, 5201768, 5200352, 5185935, 5229254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 (≈ 7 %)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В личном кабинете были исправлены неверные сведения (показатели «зарплатный клиент», год постройки и пр.). После синхронизации данные отобразятся корректно (до 48 ч).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 → VTKMD‑4480, VTKMD‑4772, VTKMD‑4543, VTKMD‑4395, VTKMD‑4330, VTKMD‑4213, VTKMD‑4312, VTKMD‑4232, VTKMD‑4482, VTKMD‑4490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Выкуп закладной для снижения ставки</w:t>
            </w:r>
          </w:p>
        </w:tc>
        <w:tc>
          <w:tcPr/>
          <w:p>
            <w:pPr>
              <w:pStyle w:val="Compact"/>
            </w:pPr>
            <w:r>
              <w:t xml:space="preserve">5208140, 5209223, 5202750, 5200959, 5197159, 5200605, 5184483, 5173230, 5195581, 5180959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 (≈ 5 %)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Запрос на выкуп закладной направлен; средний срок ≈ 30 календарных дней. После завершения выкупа услуга «Снижение ставки» будет доступна в личном кабинете.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  <w:r>
              <w:t xml:space="preserve"> → VTKMD‑4557, VTKMD‑4568, VTKMD‑4493, VTKMD‑4473, VTKMD‑4432, VTKMD‑4465, VTKMD‑4318, VTKMD‑4219, VTKMD‑4412, VTKMD‑4288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Отказ в приёме электронных справок</w:t>
            </w:r>
          </w:p>
        </w:tc>
        <w:tc>
          <w:tcPr/>
          <w:p>
            <w:pPr>
              <w:pStyle w:val="Compact"/>
            </w:pPr>
            <w:r>
              <w:t xml:space="preserve">5184720, 5190770, 5183640, 5180436, 5185065, 5187497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 (≈ 3 %)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Электронные справки формы 8, полученные через «Госуслуги», не принимаются. Требуется оригинальная бумажная справка с печатью и подписью уполномоченного органа.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 → VTKMD‑4320, VTKMD‑4285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Оплата пакета услуг без снижения ставки</w:t>
            </w:r>
          </w:p>
        </w:tc>
        <w:tc>
          <w:tcPr/>
          <w:p>
            <w:pPr>
              <w:pStyle w:val="Compact"/>
            </w:pPr>
            <w:r>
              <w:t xml:space="preserve">5169595, 5187614, 5169693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 (≈ 1 %)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Оплата пакета «Домклик Плюс» не приводит к автоматическому снижению ставки; снижение возможно только при выполнении условий кредитного договора. При несоответствии возможен возврат излишне уплаченных средств.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 → VTKMD‑4197</w:t>
            </w:r>
          </w:p>
        </w:tc>
      </w:tr>
    </w:tbl>
    <w:p>
      <w:pPr>
        <w:pStyle w:val="BodyText"/>
      </w:pPr>
      <w:r>
        <w:rPr>
          <w:i/>
          <w:iCs/>
        </w:rPr>
        <w:t xml:space="preserve">Всего обработано ≈ 233 тикета (100 %).</w:t>
      </w:r>
    </w:p>
    <w:p>
      <w:r>
        <w:pict>
          <v:rect style="width:0;height:1.5pt" o:hralign="center" o:hrstd="t" o:hr="t"/>
        </w:pict>
      </w:r>
    </w:p>
    <w:bookmarkEnd w:id="9"/>
    <w:bookmarkStart w:id="10" w:name="основные-боли-пользователей"/>
    <w:p>
      <w:pPr>
        <w:pStyle w:val="3"/>
      </w:pPr>
      <w:r>
        <w:t xml:space="preserve">Основные боли пользователей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950"/>
        <w:gridCol w:w="3801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Боль</w:t>
            </w:r>
          </w:p>
        </w:tc>
        <w:tc>
          <w:tcPr/>
          <w:p>
            <w:pPr>
              <w:pStyle w:val="Compact"/>
            </w:pPr>
            <w:r>
              <w:t xml:space="preserve">Примерный частотный вес</w:t>
            </w:r>
          </w:p>
        </w:tc>
        <w:tc>
          <w:tcPr/>
          <w:p>
            <w:pPr>
              <w:pStyle w:val="Compact"/>
            </w:pPr>
            <w:r>
              <w:t xml:space="preserve">Что её вызывает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Ставка не снижается сразу после выполнения условий «Как зарплатный»</w:t>
            </w:r>
          </w:p>
        </w:tc>
        <w:tc>
          <w:tcPr/>
          <w:p>
            <w:pPr>
              <w:pStyle w:val="Compact"/>
            </w:pPr>
            <w:r>
              <w:t xml:space="preserve">~ 63 %</w:t>
            </w:r>
          </w:p>
        </w:tc>
        <w:tc>
          <w:tcPr/>
          <w:p>
            <w:pPr>
              <w:pStyle w:val="Compact"/>
            </w:pPr>
            <w:r>
              <w:t xml:space="preserve">Задержки в синхронизации данных о зарплатных зачислениях, отсутствие автоматического триггера.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Сервис «Корпоративная программа» недоступен или выдаёт ошибку</w:t>
            </w:r>
          </w:p>
        </w:tc>
        <w:tc>
          <w:tcPr/>
          <w:p>
            <w:pPr>
              <w:pStyle w:val="Compact"/>
            </w:pPr>
            <w:r>
              <w:t xml:space="preserve">~ 14 %</w:t>
            </w:r>
          </w:p>
        </w:tc>
        <w:tc>
          <w:tcPr/>
          <w:p>
            <w:pPr>
              <w:pStyle w:val="Compact"/>
            </w:pPr>
            <w:r>
              <w:t xml:space="preserve">Не найден UUID, статус клиента не соответствует требованиям, либо система блокирует снижение до выкупа закладной.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Технические сбои при формировании кредитного договора</w:t>
            </w:r>
          </w:p>
        </w:tc>
        <w:tc>
          <w:tcPr/>
          <w:p>
            <w:pPr>
              <w:pStyle w:val="Compact"/>
            </w:pPr>
            <w:r>
              <w:t xml:space="preserve">~ 8 %</w:t>
            </w:r>
          </w:p>
        </w:tc>
        <w:tc>
          <w:tcPr/>
          <w:p>
            <w:pPr>
              <w:pStyle w:val="Compact"/>
            </w:pPr>
            <w:r>
              <w:t xml:space="preserve">Неправильные параметры (год постройки, офис), нарушения целостности БД, ошибки скрининга.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Некорректные/неактуальные данные в личном кабинете</w:t>
            </w:r>
          </w:p>
        </w:tc>
        <w:tc>
          <w:tcPr/>
          <w:p>
            <w:pPr>
              <w:pStyle w:val="Compact"/>
            </w:pPr>
            <w:r>
              <w:t xml:space="preserve">~ 7 %</w:t>
            </w:r>
          </w:p>
        </w:tc>
        <w:tc>
          <w:tcPr/>
          <w:p>
            <w:pPr>
              <w:pStyle w:val="Compact"/>
            </w:pPr>
            <w:r>
              <w:t xml:space="preserve">Несинхронные изменения в СБОЛ/Сбер ID, устаревшие статусы «зарплатный клиент».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Необходимость выкупа закладной, но процесс непрозрачен</w:t>
            </w:r>
          </w:p>
        </w:tc>
        <w:tc>
          <w:tcPr/>
          <w:p>
            <w:pPr>
              <w:pStyle w:val="Compact"/>
            </w:pPr>
            <w:r>
              <w:t xml:space="preserve">~ 5 %</w:t>
            </w:r>
          </w:p>
        </w:tc>
        <w:tc>
          <w:tcPr/>
          <w:p>
            <w:pPr>
              <w:pStyle w:val="Compact"/>
            </w:pPr>
            <w:r>
              <w:t xml:space="preserve">Клиенту неизвестны сроки, этапы и последствия выкупа, что приводит к повторным обращениям.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Отказ в приёме электронных справок формы 8</w:t>
            </w:r>
          </w:p>
        </w:tc>
        <w:tc>
          <w:tcPr/>
          <w:p>
            <w:pPr>
              <w:pStyle w:val="Compact"/>
            </w:pPr>
            <w:r>
              <w:t xml:space="preserve">~ 3 %</w:t>
            </w:r>
          </w:p>
        </w:tc>
        <w:tc>
          <w:tcPr/>
          <w:p>
            <w:pPr>
              <w:pStyle w:val="Compact"/>
            </w:pPr>
            <w:r>
              <w:t xml:space="preserve">Неясные правила приёма документов, отсутствие автоматической валидации.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Оплата пакета услуг без ожидаемого снижения ставки</w:t>
            </w:r>
          </w:p>
        </w:tc>
        <w:tc>
          <w:tcPr/>
          <w:p>
            <w:pPr>
              <w:pStyle w:val="Compact"/>
            </w:pPr>
            <w:r>
              <w:t xml:space="preserve">~ 1 %</w:t>
            </w:r>
          </w:p>
        </w:tc>
        <w:tc>
          <w:tcPr/>
          <w:p>
            <w:pPr>
              <w:pStyle w:val="Compact"/>
            </w:pPr>
            <w:r>
              <w:t xml:space="preserve">Недостаточная информированность о том, что пакет «Домклик Плюс» сам по себе не меняет ставку.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рекомендации-по-устранению-проблем"/>
    <w:p>
      <w:pPr>
        <w:pStyle w:val="3"/>
      </w:pPr>
      <w:r>
        <w:t xml:space="preserve">Рекомендации по устранению проблем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Конкретные 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Автоматизация снижения ставки после «Как зарплатный»</w:t>
            </w:r>
          </w:p>
        </w:tc>
        <w:tc>
          <w:tcPr/>
          <w:p>
            <w:pPr>
              <w:pStyle w:val="Compact"/>
            </w:pPr>
            <w:r>
              <w:t xml:space="preserve">• Встроить в EKP триггер, который при подтверждении ≥ 2 зачислений зарплаты подряд автоматически меняет ставку (SLA ≤ 1 раб. день).</w:t>
            </w:r>
            <w:r>
              <w:t xml:space="preserve">• Добавить в личный кабинет статус «ЗП‑клиент (активно)» с информированием о запланированном снижении.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Улучшение корпоративной программы</w:t>
            </w:r>
          </w:p>
        </w:tc>
        <w:tc>
          <w:tcPr/>
          <w:p>
            <w:pPr>
              <w:pStyle w:val="Compact"/>
            </w:pPr>
            <w:r>
              <w:t xml:space="preserve">• Автоматически проверять наличие UUID Sber Team ID и статус «зарплатный клиент» через HR‑систему.</w:t>
            </w:r>
            <w:r>
              <w:t xml:space="preserve">• При обнаружении ошибки выводить конкретную причину (отсутствие UUID / неактивный статус) и кнопку «Повторить проверку».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Устранение технических ошибок при создании договоров</w:t>
            </w:r>
          </w:p>
        </w:tc>
        <w:tc>
          <w:tcPr/>
          <w:p>
            <w:pPr>
              <w:pStyle w:val="Compact"/>
            </w:pPr>
            <w:r>
              <w:t xml:space="preserve">• Внедрить валидатор полей (год постройки, офис, код ОКТМО) до отправки заявки.</w:t>
            </w:r>
            <w:r>
              <w:t xml:space="preserve">• При ошибке автоматически открывать задачу в Jira с предзаполненными данными и SLA = 4 ч.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Синхронизация личного кабинета</w:t>
            </w:r>
          </w:p>
        </w:tc>
        <w:tc>
          <w:tcPr/>
          <w:p>
            <w:pPr>
              <w:pStyle w:val="Compact"/>
            </w:pPr>
            <w:r>
              <w:t xml:space="preserve">• Двусторонняя репликация данных СБОЛ ↔ ЛК каждые 30 минут.</w:t>
            </w:r>
            <w:r>
              <w:t xml:space="preserve">• При изменении статус‑показателей отправлять push‑уведомление клиенту.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Процесс выкупа закладной</w:t>
            </w:r>
          </w:p>
        </w:tc>
        <w:tc>
          <w:tcPr/>
          <w:p>
            <w:pPr>
              <w:pStyle w:val="Compact"/>
            </w:pPr>
            <w:r>
              <w:t xml:space="preserve">• Стандартный шаблон запроса в Jira «Выкуп закладной» с указанием ожидаемого срока ≈ 30 дн.</w:t>
            </w:r>
            <w:r>
              <w:t xml:space="preserve">• В ЛК добавить транзакцию «Ставка недоступна – выкуп залога», где клиент видит прогресс.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Приём электронных справок</w:t>
            </w:r>
          </w:p>
        </w:tc>
        <w:tc>
          <w:tcPr/>
          <w:p>
            <w:pPr>
              <w:pStyle w:val="Compact"/>
            </w:pPr>
            <w:r>
              <w:t xml:space="preserve">• Обновить регламент: принимать электронные формы 8 только с квалифицированной подписью; добавить автоматическую проверку подписи.</w:t>
            </w:r>
            <w:r>
              <w:t xml:space="preserve">• В базе знаний разместить FAQ с перечислением приемлемых форматов.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Информирование о пакетах услуг</w:t>
            </w:r>
          </w:p>
        </w:tc>
        <w:tc>
          <w:tcPr/>
          <w:p>
            <w:pPr>
              <w:pStyle w:val="Compact"/>
            </w:pPr>
            <w:r>
              <w:t xml:space="preserve">• В описании пакета «Домклик Плюс» явно указывать, что снижение ставки происходит только при выполнении условий кредита.</w:t>
            </w:r>
            <w:r>
              <w:t xml:space="preserve">• При оплате автоматически проверять соответствие условий и, если они не выполнены, предлагать клиенту варианты (доп. зачисления, выкуп закладной).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Обучение операторов и скрипты</w:t>
            </w:r>
          </w:p>
        </w:tc>
        <w:tc>
          <w:tcPr/>
          <w:p>
            <w:pPr>
              <w:pStyle w:val="Compact"/>
            </w:pPr>
            <w:r>
              <w:t xml:space="preserve">• Создать готовые шаблоны ответов для всех 7 классов (см. колонку «Типичный ответ оператора»).</w:t>
            </w:r>
            <w:r>
              <w:t xml:space="preserve">• Проводить ежемесячные разборы типовых кейсов и обновлять «Базу знаний».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Метрики и контроль</w:t>
            </w:r>
          </w:p>
        </w:tc>
        <w:tc>
          <w:tcPr/>
          <w:p>
            <w:pPr>
              <w:pStyle w:val="Compact"/>
            </w:pPr>
            <w:r>
              <w:t xml:space="preserve">• KPI «Среднее время до снижения ставки после выполнения условий» ≤ 3 раб. дня.</w:t>
            </w:r>
            <w:r>
              <w:t xml:space="preserve">• Дашборд с количеством тикетов по каждому классу, динамикой и SLA‑показателями.</w:t>
            </w:r>
          </w:p>
        </w:tc>
      </w:tr>
    </w:tbl>
    <w:p>
      <w:pPr>
        <w:pStyle w:val="BodyText"/>
      </w:pPr>
      <w:r>
        <w:t xml:space="preserve">Внедрение данных рекомендаций позволит:</w:t>
      </w:r>
    </w:p>
    <w:p>
      <w:pPr>
        <w:pStyle w:val="Compact"/>
        <w:numPr>
          <w:ilvl w:val="0"/>
          <w:numId w:val="1001"/>
        </w:numPr>
      </w:pPr>
      <w:r>
        <w:t xml:space="preserve">Сократить количество обращений в класс 1 почти вдвое, за счёт автоматического и быстро реагирующего снижения ставки.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Уменьшить повторные запросы по классу 2 и 6 за счёт прозрачного процесса проверки статуса и выкупа залога.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Снизить технические ошибки (класс 3) через предварительную валидацию данных.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Повысить доверие клиентов к личному кабинету (классы 4 и 5) за счёт своевременной синхронизации и чётких инструкций.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Общая удовлетворённость поддержки вырастет, а нагрузка на первую линию уменьшится.</w:t>
      </w:r>
    </w:p>
    <w:bookmarkEnd w:id="1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2026-03-16T11:07:37Z</dcterms:created>
  <dcterms:modified xsi:type="dcterms:W3CDTF">2026-03-16T11:07:37Z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