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E372A" w:rsidRDefault="00B82389">
      <w:pPr>
        <w:pStyle w:val="Title"/>
        <w:bidi/>
      </w:pPr>
      <w:bookmarkStart w:id="0" w:name="_jhtmhip2dvzu" w:colFirst="0" w:colLast="0"/>
      <w:bookmarkEnd w:id="0"/>
      <w:proofErr w:type="spellStart"/>
      <w:r>
        <w:rPr>
          <w:rtl/>
        </w:rPr>
        <w:t>מירכוז</w:t>
      </w:r>
      <w:proofErr w:type="spellEnd"/>
      <w:r>
        <w:rPr>
          <w:rtl/>
        </w:rPr>
        <w:t xml:space="preserve"> משתנים</w:t>
      </w:r>
      <w:r>
        <w:rPr>
          <w:rtl/>
        </w:rPr>
        <w:t xml:space="preserve"> בחישוב טבלאות </w:t>
      </w:r>
      <w:r>
        <w:t>ANOVA</w:t>
      </w:r>
    </w:p>
    <w:p w:rsidR="00DE372A" w:rsidRDefault="00B82389">
      <w:pPr>
        <w:pStyle w:val="Subtitle"/>
        <w:bidi/>
      </w:pPr>
      <w:bookmarkStart w:id="1" w:name="_n8e3wlv38fcx" w:colFirst="0" w:colLast="0"/>
      <w:bookmarkEnd w:id="1"/>
      <w:r>
        <w:rPr>
          <w:rtl/>
        </w:rPr>
        <w:t xml:space="preserve">איך למה חשוב למרכז משתנים בחישוב טבלאות </w:t>
      </w:r>
      <w:r>
        <w:t>ANOVA</w:t>
      </w:r>
    </w:p>
    <w:p w:rsidR="00DE372A" w:rsidRDefault="00B82389">
      <w:pPr>
        <w:pStyle w:val="Heading1"/>
        <w:bidi/>
      </w:pPr>
      <w:bookmarkStart w:id="2" w:name="_9c76zc2y1ho7" w:colFirst="0" w:colLast="0"/>
      <w:bookmarkEnd w:id="2"/>
      <w:r>
        <w:rPr>
          <w:rtl/>
        </w:rPr>
        <w:t xml:space="preserve">מהן טבלאות </w:t>
      </w:r>
      <w:r>
        <w:t>ANOVA</w:t>
      </w:r>
    </w:p>
    <w:p w:rsidR="00DE372A" w:rsidRDefault="00B82389">
      <w:pPr>
        <w:bidi/>
      </w:pPr>
      <w:r>
        <w:rPr>
          <w:rtl/>
        </w:rPr>
        <w:t xml:space="preserve">טבלאות </w:t>
      </w:r>
      <w:r>
        <w:t>ANOVA</w:t>
      </w:r>
      <w:r>
        <w:rPr>
          <w:rtl/>
        </w:rPr>
        <w:t xml:space="preserve"> מפיקות מבחני מובהקות עבור כל משתנה (או משתנה </w:t>
      </w:r>
      <w:proofErr w:type="spellStart"/>
      <w:r>
        <w:rPr>
          <w:rtl/>
        </w:rPr>
        <w:t>אינטרקציה</w:t>
      </w:r>
      <w:proofErr w:type="spellEnd"/>
      <w:r>
        <w:rPr>
          <w:rtl/>
        </w:rPr>
        <w:t>) במודל הסטטיסטי שבנינו</w:t>
      </w:r>
      <w:r>
        <w:rPr>
          <w:vertAlign w:val="superscript"/>
        </w:rPr>
        <w:footnoteReference w:id="1"/>
      </w:r>
      <w:r>
        <w:rPr>
          <w:rtl/>
        </w:rPr>
        <w:t xml:space="preserve">. לרוב טבלאות </w:t>
      </w:r>
      <w:r>
        <w:t>ANOVA</w:t>
      </w:r>
      <w:r>
        <w:rPr>
          <w:rtl/>
        </w:rPr>
        <w:t xml:space="preserve"> מופקות עבור מודלים בהם יש לפחות משתנה קטגוריאלי אחד (כאשר יש בעיקר משתנים </w:t>
      </w:r>
      <w:r>
        <w:rPr>
          <w:rtl/>
        </w:rPr>
        <w:t xml:space="preserve">קטגוריאליים, ורק משתנה רציף אחד או שניים, הטבלה מכונה טבלת </w:t>
      </w:r>
      <w:r>
        <w:t>ANCOVA</w:t>
      </w:r>
      <w:r>
        <w:rPr>
          <w:rtl/>
        </w:rPr>
        <w:t>), אבל ניתן לחשב אותם גם עבור מודל בו כל הגורמים הם משתנים רציפים</w:t>
      </w:r>
      <w:r>
        <w:rPr>
          <w:vertAlign w:val="superscript"/>
        </w:rPr>
        <w:footnoteReference w:id="2"/>
      </w:r>
      <w:r>
        <w:t xml:space="preserve"> </w:t>
      </w:r>
      <w:r>
        <w:rPr>
          <w:rtl/>
        </w:rPr>
        <w:t>(או כל מקבילה דומה לכל המודלים הללו ב־</w:t>
      </w:r>
      <w:r>
        <w:t>HLM/LMM</w:t>
      </w:r>
      <w:r>
        <w:rPr>
          <w:rtl/>
        </w:rPr>
        <w:t xml:space="preserve"> / רגרסיה לוגיסטית)</w:t>
      </w:r>
      <w:r>
        <w:t>.</w:t>
      </w:r>
    </w:p>
    <w:p w:rsidR="00DE372A" w:rsidRDefault="00B82389">
      <w:pPr>
        <w:pStyle w:val="Heading1"/>
        <w:bidi/>
      </w:pPr>
      <w:bookmarkStart w:id="3" w:name="_9mo8cixmi8fb" w:colFirst="0" w:colLast="0"/>
      <w:bookmarkEnd w:id="3"/>
      <w:r>
        <w:rPr>
          <w:rtl/>
        </w:rPr>
        <w:t>חובה למרכז משתנים</w:t>
      </w:r>
    </w:p>
    <w:p w:rsidR="00DE372A" w:rsidRDefault="00B82389">
      <w:pPr>
        <w:bidi/>
      </w:pPr>
      <w:r>
        <w:rPr>
          <w:b/>
          <w:u w:val="single"/>
          <w:rtl/>
        </w:rPr>
        <w:t>עובדה:</w:t>
      </w:r>
      <w:r>
        <w:rPr>
          <w:rtl/>
        </w:rPr>
        <w:t xml:space="preserve"> מרכוז של משתנים מנבאים רציפים גור</w:t>
      </w:r>
      <w:r>
        <w:rPr>
          <w:rtl/>
        </w:rPr>
        <w:t xml:space="preserve">ם לשינויים בתוצאות והמסקנות מטבלאות </w:t>
      </w:r>
      <w:r>
        <w:t>ANOVA/ANCOVA</w:t>
      </w:r>
      <w:r>
        <w:rPr>
          <w:vertAlign w:val="superscript"/>
        </w:rPr>
        <w:footnoteReference w:id="3"/>
      </w:r>
      <w:r>
        <w:rPr>
          <w:rtl/>
        </w:rPr>
        <w:t>. אם כן, איזו תוצאה היא הנכונה? האם צריך למרכז או לא משתנים?</w:t>
      </w:r>
    </w:p>
    <w:p w:rsidR="00DE372A" w:rsidRDefault="00DE372A">
      <w:pPr>
        <w:bidi/>
      </w:pPr>
    </w:p>
    <w:p w:rsidR="00DE372A" w:rsidRDefault="00B82389">
      <w:pPr>
        <w:bidi/>
      </w:pPr>
      <w:r>
        <w:rPr>
          <w:b/>
          <w:u w:val="single"/>
          <w:rtl/>
        </w:rPr>
        <w:t>טענה עיקרית:</w:t>
      </w:r>
      <w:r>
        <w:rPr>
          <w:rtl/>
        </w:rPr>
        <w:t xml:space="preserve"> כאשר המודל שלנו כולל </w:t>
      </w:r>
      <w:proofErr w:type="spellStart"/>
      <w:r>
        <w:rPr>
          <w:rtl/>
        </w:rPr>
        <w:t>אינטרקציות</w:t>
      </w:r>
      <w:proofErr w:type="spellEnd"/>
      <w:r>
        <w:rPr>
          <w:rtl/>
        </w:rPr>
        <w:t xml:space="preserve">, על מנת שניתן יהיה לפרש את האפקטים / </w:t>
      </w:r>
      <w:proofErr w:type="spellStart"/>
      <w:r>
        <w:rPr>
          <w:rtl/>
        </w:rPr>
        <w:t>אינטרקציות</w:t>
      </w:r>
      <w:proofErr w:type="spellEnd"/>
      <w:r>
        <w:rPr>
          <w:rtl/>
        </w:rPr>
        <w:t xml:space="preserve"> מטבלת ה</w:t>
      </w:r>
      <w:r>
        <w:t>ANOVA</w:t>
      </w:r>
      <w:r>
        <w:rPr>
          <w:rtl/>
        </w:rPr>
        <w:t xml:space="preserve">, </w:t>
      </w:r>
      <w:r>
        <w:rPr>
          <w:b/>
          <w:rtl/>
        </w:rPr>
        <w:t xml:space="preserve">חובה למרכז את כל המשתנים </w:t>
      </w:r>
      <w:r>
        <w:rPr>
          <w:rtl/>
        </w:rPr>
        <w:t>טרם הכנסתם למ</w:t>
      </w:r>
      <w:r>
        <w:rPr>
          <w:rtl/>
        </w:rPr>
        <w:t>ודל</w:t>
      </w:r>
      <w:r>
        <w:rPr>
          <w:vertAlign w:val="superscript"/>
        </w:rPr>
        <w:footnoteReference w:id="4"/>
      </w:r>
      <w:r>
        <w:t>.</w:t>
      </w:r>
    </w:p>
    <w:p w:rsidR="00DE372A" w:rsidRDefault="00B82389">
      <w:pPr>
        <w:pStyle w:val="Heading1"/>
        <w:bidi/>
      </w:pPr>
      <w:bookmarkStart w:id="4" w:name="_16fsl0pyhejt" w:colFirst="0" w:colLast="0"/>
      <w:bookmarkEnd w:id="4"/>
      <w:r>
        <w:rPr>
          <w:rtl/>
        </w:rPr>
        <w:t>למה למרכז משתנים?</w:t>
      </w:r>
    </w:p>
    <w:p w:rsidR="00DE372A" w:rsidRDefault="00B82389">
      <w:pPr>
        <w:bidi/>
      </w:pPr>
      <w:proofErr w:type="spellStart"/>
      <w:r>
        <w:rPr>
          <w:rtl/>
        </w:rPr>
        <w:t>מירכוז</w:t>
      </w:r>
      <w:proofErr w:type="spellEnd"/>
      <w:r>
        <w:rPr>
          <w:rtl/>
        </w:rPr>
        <w:t xml:space="preserve"> של משתנים במודל שבו יש גורם </w:t>
      </w:r>
      <w:proofErr w:type="spellStart"/>
      <w:r>
        <w:rPr>
          <w:rtl/>
        </w:rPr>
        <w:t>אינטרקציה</w:t>
      </w:r>
      <w:proofErr w:type="spellEnd"/>
      <w:r>
        <w:rPr>
          <w:rtl/>
        </w:rPr>
        <w:t xml:space="preserve"> משנה את חישוב השונות המוסברת במשתנים מסדר נמוך יותר (למשל במודל בו יש </w:t>
      </w:r>
      <w:proofErr w:type="spellStart"/>
      <w:r>
        <w:rPr>
          <w:rtl/>
        </w:rPr>
        <w:t>אינטרקציה</w:t>
      </w:r>
      <w:proofErr w:type="spellEnd"/>
      <w:r>
        <w:rPr>
          <w:rtl/>
        </w:rPr>
        <w:t xml:space="preserve"> זוגית, </w:t>
      </w:r>
      <w:proofErr w:type="spellStart"/>
      <w:r>
        <w:rPr>
          <w:rtl/>
        </w:rPr>
        <w:t>מירכוז</w:t>
      </w:r>
      <w:proofErr w:type="spellEnd"/>
      <w:r>
        <w:rPr>
          <w:rtl/>
        </w:rPr>
        <w:t xml:space="preserve"> ישפיע על האפקטים העיקריים; במודל בו יש </w:t>
      </w:r>
      <w:proofErr w:type="spellStart"/>
      <w:r>
        <w:rPr>
          <w:rtl/>
        </w:rPr>
        <w:t>אינטרקציה</w:t>
      </w:r>
      <w:proofErr w:type="spellEnd"/>
      <w:r>
        <w:rPr>
          <w:rtl/>
        </w:rPr>
        <w:t xml:space="preserve"> משולשת, </w:t>
      </w:r>
      <w:proofErr w:type="spellStart"/>
      <w:r>
        <w:rPr>
          <w:rtl/>
        </w:rPr>
        <w:t>מירכוז</w:t>
      </w:r>
      <w:proofErr w:type="spellEnd"/>
      <w:r>
        <w:rPr>
          <w:rtl/>
        </w:rPr>
        <w:t xml:space="preserve"> ישפיע על </w:t>
      </w:r>
      <w:proofErr w:type="spellStart"/>
      <w:r>
        <w:rPr>
          <w:rtl/>
        </w:rPr>
        <w:t>האינטרקציות</w:t>
      </w:r>
      <w:proofErr w:type="spellEnd"/>
      <w:r>
        <w:rPr>
          <w:rtl/>
        </w:rPr>
        <w:t xml:space="preserve"> הזוגיות </w:t>
      </w:r>
      <w:r>
        <w:rPr>
          <w:rtl/>
        </w:rPr>
        <w:t xml:space="preserve">ועל האפקטים העיקריים, וכן הלאה; </w:t>
      </w:r>
      <w:hyperlink r:id="rId6">
        <w:proofErr w:type="spellStart"/>
        <w:r>
          <w:rPr>
            <w:color w:val="1155CC"/>
            <w:u w:val="single"/>
          </w:rPr>
          <w:t>Dalal</w:t>
        </w:r>
        <w:proofErr w:type="spellEnd"/>
        <w:r>
          <w:rPr>
            <w:color w:val="1155CC"/>
            <w:u w:val="single"/>
          </w:rPr>
          <w:t xml:space="preserve"> &amp; </w:t>
        </w:r>
        <w:proofErr w:type="spellStart"/>
        <w:r>
          <w:rPr>
            <w:color w:val="1155CC"/>
            <w:u w:val="single"/>
          </w:rPr>
          <w:t>Zickar</w:t>
        </w:r>
        <w:proofErr w:type="spellEnd"/>
        <w:r>
          <w:rPr>
            <w:color w:val="1155CC"/>
            <w:u w:val="single"/>
          </w:rPr>
          <w:t>, 2011</w:t>
        </w:r>
      </w:hyperlink>
      <w:r>
        <w:rPr>
          <w:rtl/>
        </w:rPr>
        <w:t xml:space="preserve">). למעשה, רק לאחר </w:t>
      </w:r>
      <w:proofErr w:type="spellStart"/>
      <w:r>
        <w:rPr>
          <w:rtl/>
        </w:rPr>
        <w:t>מירכוז</w:t>
      </w:r>
      <w:proofErr w:type="spellEnd"/>
      <w:r>
        <w:rPr>
          <w:rtl/>
        </w:rPr>
        <w:t xml:space="preserve"> של המשתנים, מבחני המובהקות של האפקטים מסדר נמוך יותר באמת מייצגים את מה שאנחנו בכל מקרה חושבים שהם מייצגים – את מובהק</w:t>
      </w:r>
      <w:r>
        <w:rPr>
          <w:rtl/>
        </w:rPr>
        <w:t xml:space="preserve">ות השונות המוסברת על ידי המשתנה (/ </w:t>
      </w:r>
      <w:proofErr w:type="spellStart"/>
      <w:r>
        <w:rPr>
          <w:rtl/>
        </w:rPr>
        <w:t>אינטרקציה</w:t>
      </w:r>
      <w:proofErr w:type="spellEnd"/>
      <w:r>
        <w:rPr>
          <w:rtl/>
        </w:rPr>
        <w:t xml:space="preserve">) מעבר להבדלים באפקט של המשתנה הממותנים על ידי גורם אחר כלשהו (מה שנקרא "אפקט עיקרי"; </w:t>
      </w:r>
      <w:hyperlink r:id="rId7" w:anchor="centering-with-one-group-of-subjects">
        <w:r>
          <w:rPr>
            <w:color w:val="1155CC"/>
            <w:u w:val="single"/>
          </w:rPr>
          <w:t>AFNI, website</w:t>
        </w:r>
      </w:hyperlink>
      <w:r w:rsidR="004D2BD0">
        <w:rPr>
          <w:rFonts w:hint="cs"/>
          <w:rtl/>
        </w:rPr>
        <w:t>).</w:t>
      </w:r>
    </w:p>
    <w:p w:rsidR="00DE372A" w:rsidRDefault="00B82389">
      <w:pPr>
        <w:pStyle w:val="Heading1"/>
        <w:bidi/>
      </w:pPr>
      <w:bookmarkStart w:id="5" w:name="_yrhljjudnfbp" w:colFirst="0" w:colLast="0"/>
      <w:bookmarkEnd w:id="5"/>
      <w:r>
        <w:rPr>
          <w:rtl/>
        </w:rPr>
        <w:t>איך למרכז משתנים?</w:t>
      </w:r>
    </w:p>
    <w:p w:rsidR="00DE372A" w:rsidRDefault="00B82389">
      <w:pPr>
        <w:bidi/>
      </w:pPr>
      <w:r>
        <w:rPr>
          <w:rtl/>
        </w:rPr>
        <w:t xml:space="preserve">כאשר אנחנו מחשבים טבלת </w:t>
      </w:r>
      <w:r>
        <w:t>ANOVA</w:t>
      </w:r>
      <w:r>
        <w:rPr>
          <w:rtl/>
        </w:rPr>
        <w:t xml:space="preserve">, השונות של כל משתנה מחושבת סביב ה0. מרכוז הוא תהליך חישובי שבו הופכים את ערך ה0 במשתנה </w:t>
      </w:r>
      <w:proofErr w:type="spellStart"/>
      <w:r>
        <w:rPr>
          <w:rtl/>
        </w:rPr>
        <w:t>הב״ת</w:t>
      </w:r>
      <w:proofErr w:type="spellEnd"/>
      <w:r>
        <w:rPr>
          <w:rtl/>
        </w:rPr>
        <w:t xml:space="preserve"> לבעל משמעות כלשהי (ממש כמו בכל מרכוז שנעשה עבור רגרסיה רגילה).</w:t>
      </w:r>
    </w:p>
    <w:p w:rsidR="00DE372A" w:rsidRDefault="00B82389">
      <w:pPr>
        <w:pStyle w:val="Heading2"/>
        <w:bidi/>
      </w:pPr>
      <w:bookmarkStart w:id="6" w:name="_u3ewi2ilpmb" w:colFirst="0" w:colLast="0"/>
      <w:bookmarkEnd w:id="6"/>
      <w:r>
        <w:rPr>
          <w:rtl/>
        </w:rPr>
        <w:t>איך למרכז משתנה רציף</w:t>
      </w:r>
    </w:p>
    <w:p w:rsidR="00DE372A" w:rsidRDefault="00B82389">
      <w:pPr>
        <w:bidi/>
      </w:pPr>
      <w:r>
        <w:rPr>
          <w:rtl/>
        </w:rPr>
        <w:t>די פשוט, מחס</w:t>
      </w:r>
      <w:r>
        <w:rPr>
          <w:rtl/>
        </w:rPr>
        <w:t xml:space="preserve">ירים מכל תצפית את הממוצע של כלל התצפיות: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centered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acc>
          <m:accPr>
            <m:chr m:val="̄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DE372A" w:rsidRDefault="00B82389">
      <w:pPr>
        <w:bidi/>
      </w:pPr>
      <w:r>
        <w:rPr>
          <w:rtl/>
        </w:rPr>
        <w:t>לאחר טרנספורמציה זו, הממוצע של המשתנה יהיה 0, והמשתנה יחשב ל"ממורכז".</w:t>
      </w:r>
    </w:p>
    <w:p w:rsidR="00DE372A" w:rsidRDefault="00DE372A">
      <w:pPr>
        <w:bidi/>
      </w:pPr>
    </w:p>
    <w:p w:rsidR="00DE372A" w:rsidRDefault="00B82389">
      <w:pPr>
        <w:bidi/>
      </w:pPr>
      <w:r>
        <w:rPr>
          <w:rtl/>
        </w:rPr>
        <w:lastRenderedPageBreak/>
        <w:t xml:space="preserve">יש לציין כי לא חייבים שהערך שמפחיתים יהיה ממוצע המדגם המקרי שלכם, אבל חשוב שהאפס במשתנה יהיה ערך שסביר שייצג את </w:t>
      </w:r>
      <w:proofErr w:type="spellStart"/>
      <w:r>
        <w:rPr>
          <w:rtl/>
        </w:rPr>
        <w:t>האוכלוס</w:t>
      </w:r>
      <w:r>
        <w:rPr>
          <w:rtl/>
        </w:rPr>
        <w:t>יה</w:t>
      </w:r>
      <w:proofErr w:type="spellEnd"/>
      <w:r>
        <w:rPr>
          <w:rtl/>
        </w:rPr>
        <w:t xml:space="preserve"> עליה מסיקים (</w:t>
      </w:r>
      <w:hyperlink r:id="rId8" w:anchor="centering-with-one-group-of-subjects">
        <w:r>
          <w:rPr>
            <w:color w:val="1155CC"/>
            <w:u w:val="single"/>
          </w:rPr>
          <w:t>AFNI, website</w:t>
        </w:r>
      </w:hyperlink>
      <w:r>
        <w:rPr>
          <w:rtl/>
        </w:rPr>
        <w:t xml:space="preserve">). למשל, אם המשתנה הרציף הוא </w:t>
      </w:r>
      <w:r>
        <w:t>IQ</w:t>
      </w:r>
      <w:r>
        <w:rPr>
          <w:rtl/>
        </w:rPr>
        <w:t xml:space="preserve">, לפני המרכוז, 0 ייצג ערך שלא קיים בכלל בסקאלה. ניתן אם כן למרכז </w:t>
      </w:r>
      <w:r>
        <w:rPr>
          <w:rtl/>
        </w:rPr>
        <w:t xml:space="preserve">לפי ממוצע המדגם, אך אפשר גם למרכז לפי 100 – שהוא הממוצע המוגדר של מבחני </w:t>
      </w:r>
      <w:r>
        <w:t>IQ</w:t>
      </w:r>
      <w:r>
        <w:rPr>
          <w:rtl/>
        </w:rPr>
        <w:t xml:space="preserve">. דוגמה נוספת: אם המשתנה הרציף שלנו הוא גיל, לפני המרכוז, 0 הוא ערך אפשרי – ייצג תינוק בן יומו – אך הוא כנראה לא מייצג </w:t>
      </w:r>
      <w:proofErr w:type="spellStart"/>
      <w:r>
        <w:rPr>
          <w:rtl/>
        </w:rPr>
        <w:t>האוכלוסיה</w:t>
      </w:r>
      <w:proofErr w:type="spellEnd"/>
      <w:r>
        <w:rPr>
          <w:rtl/>
        </w:rPr>
        <w:t xml:space="preserve"> עליה אנחנו רוצים להסיק.</w:t>
      </w:r>
    </w:p>
    <w:p w:rsidR="00DE372A" w:rsidRDefault="00B82389">
      <w:pPr>
        <w:pStyle w:val="Heading2"/>
        <w:bidi/>
      </w:pPr>
      <w:bookmarkStart w:id="7" w:name="_lgn8lxb7pdz3" w:colFirst="0" w:colLast="0"/>
      <w:bookmarkEnd w:id="7"/>
      <w:r>
        <w:rPr>
          <w:rtl/>
        </w:rPr>
        <w:t>איך למרכז משתנה קטגוריאלי</w:t>
      </w:r>
    </w:p>
    <w:p w:rsidR="00DE372A" w:rsidRDefault="00B82389">
      <w:pPr>
        <w:bidi/>
      </w:pPr>
      <w:r>
        <w:rPr>
          <w:rtl/>
        </w:rPr>
        <w:t>לכא</w:t>
      </w:r>
      <w:r>
        <w:rPr>
          <w:rtl/>
        </w:rPr>
        <w:t xml:space="preserve">ורה משימה בלתי אפשרית – למשתנים קטגוריאליים אין ערכים מספריים, אז אי אפשר להפחית מהם ערך כלשהו. זה נכון, אבל הרעיון של מרכוז הוא שכאשר אנחנו ממדלים את הערך 0 עבור אותו משתנה, המודל יספק לנו תוצאות "מעבר" לכל הרמות של אותו משתנה. לשם כך, משתני דמה שמקודדים </w:t>
      </w:r>
      <w:r>
        <w:rPr>
          <w:rtl/>
        </w:rPr>
        <w:t>ביחס לקבוצת בסיס כלשהי לא יעשו את העבודה, כי כאשר כל משתני הדמה מקבלים את הערך 0, המודל "השולי" (</w:t>
      </w:r>
      <w:r>
        <w:t>marginal</w:t>
      </w:r>
      <w:r>
        <w:rPr>
          <w:rtl/>
        </w:rPr>
        <w:t xml:space="preserve">) מתייחס לקבוצת הבסיס. הפתרון הוא לקודד משתני דמה במה שנקרא </w:t>
      </w:r>
      <w:hyperlink r:id="rId9">
        <w:r>
          <w:rPr>
            <w:color w:val="1155CC"/>
            <w:u w:val="single"/>
          </w:rPr>
          <w:t>effects coding</w:t>
        </w:r>
      </w:hyperlink>
      <w:r>
        <w:rPr>
          <w:rtl/>
        </w:rPr>
        <w:t xml:space="preserve"> שכן נותנים את התוצאה הרצויה – כאשר נזין לקידוד הזה 0, המודל יספק לנו תוצאות "מעבר" לכל הרמות של אותו משתנה (</w:t>
      </w:r>
      <w:hyperlink r:id="rId10">
        <w:r>
          <w:rPr>
            <w:color w:val="1155CC"/>
            <w:u w:val="single"/>
          </w:rPr>
          <w:t>Aiken, et al., 1991, pp. 127</w:t>
        </w:r>
      </w:hyperlink>
      <w:r>
        <w:t xml:space="preserve">; </w:t>
      </w:r>
      <w:hyperlink r:id="rId11">
        <w:proofErr w:type="spellStart"/>
        <w:r>
          <w:rPr>
            <w:color w:val="1155CC"/>
            <w:u w:val="single"/>
          </w:rPr>
          <w:t>Singmann</w:t>
        </w:r>
        <w:proofErr w:type="spellEnd"/>
        <w:r>
          <w:rPr>
            <w:color w:val="1155CC"/>
            <w:u w:val="single"/>
          </w:rPr>
          <w:t xml:space="preserve"> &amp; Kellen, 2017, pp. 24</w:t>
        </w:r>
      </w:hyperlink>
      <w:r w:rsidR="004D2BD0">
        <w:rPr>
          <w:rFonts w:hint="cs"/>
          <w:rtl/>
        </w:rPr>
        <w:t>).</w:t>
      </w:r>
    </w:p>
    <w:p w:rsidR="00DE372A" w:rsidRDefault="00B82389">
      <w:pPr>
        <w:bidi/>
      </w:pPr>
      <w:r>
        <w:rPr>
          <w:rtl/>
        </w:rPr>
        <w:t xml:space="preserve">יתרון נוסף של </w:t>
      </w:r>
      <w:proofErr w:type="spellStart"/>
      <w:r>
        <w:rPr>
          <w:rtl/>
        </w:rPr>
        <w:t>מירכוז</w:t>
      </w:r>
      <w:proofErr w:type="spellEnd"/>
      <w:r>
        <w:rPr>
          <w:rtl/>
        </w:rPr>
        <w:t xml:space="preserve"> זה של משתנים </w:t>
      </w:r>
      <w:proofErr w:type="spellStart"/>
      <w:r>
        <w:rPr>
          <w:rtl/>
        </w:rPr>
        <w:t>קטגוראלי</w:t>
      </w:r>
      <w:r>
        <w:rPr>
          <w:rtl/>
        </w:rPr>
        <w:t>ים</w:t>
      </w:r>
      <w:proofErr w:type="spellEnd"/>
      <w:r>
        <w:rPr>
          <w:rtl/>
        </w:rPr>
        <w:t xml:space="preserve"> הוא שחישוב טבלאות ה</w:t>
      </w:r>
      <w:r>
        <w:t>ANOVA</w:t>
      </w:r>
      <w:r>
        <w:rPr>
          <w:rtl/>
        </w:rPr>
        <w:t xml:space="preserve"> מתמודד בצורה טובה יותר עם בעיות של חוסר איזון בין התאים (</w:t>
      </w:r>
      <w:hyperlink r:id="rId12">
        <w:r>
          <w:rPr>
            <w:color w:val="1155CC"/>
            <w:u w:val="single"/>
          </w:rPr>
          <w:t>Aiken, et al., 1991, pp. 127</w:t>
        </w:r>
      </w:hyperlink>
      <w:r>
        <w:t xml:space="preserve">; </w:t>
      </w:r>
      <w:hyperlink r:id="rId13">
        <w:proofErr w:type="spellStart"/>
        <w:r>
          <w:rPr>
            <w:color w:val="1155CC"/>
            <w:u w:val="single"/>
          </w:rPr>
          <w:t>Singmann</w:t>
        </w:r>
        <w:proofErr w:type="spellEnd"/>
        <w:r>
          <w:rPr>
            <w:color w:val="1155CC"/>
            <w:u w:val="single"/>
          </w:rPr>
          <w:t xml:space="preserve"> &amp; Kellen, 2017, pp. 24</w:t>
        </w:r>
      </w:hyperlink>
      <w:r w:rsidR="004D2BD0">
        <w:rPr>
          <w:rFonts w:hint="cs"/>
          <w:rtl/>
        </w:rPr>
        <w:t>).</w:t>
      </w:r>
      <w:bookmarkStart w:id="8" w:name="_GoBack"/>
      <w:bookmarkEnd w:id="8"/>
    </w:p>
    <w:p w:rsidR="00DE372A" w:rsidRDefault="00DE372A">
      <w:pPr>
        <w:bidi/>
      </w:pPr>
    </w:p>
    <w:p w:rsidR="00DE372A" w:rsidRDefault="00B82389">
      <w:pPr>
        <w:bidi/>
      </w:pPr>
      <w:r>
        <w:rPr>
          <w:rtl/>
        </w:rPr>
        <w:t>איך עושים את זה (ב־</w:t>
      </w:r>
      <w:r>
        <w:t>R</w:t>
      </w:r>
      <w:r>
        <w:rPr>
          <w:rtl/>
        </w:rPr>
        <w:t>)? מריצים בתחילת הסקריפט את השורה הבאה:</w:t>
      </w:r>
    </w:p>
    <w:p w:rsidR="00DE372A" w:rsidRDefault="00B82389">
      <w:pPr>
        <w:jc w:val="center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options(</w:t>
      </w:r>
      <w:proofErr w:type="gramEnd"/>
      <w:r>
        <w:rPr>
          <w:rFonts w:ascii="Courier New" w:eastAsia="Courier New" w:hAnsi="Courier New" w:cs="Courier New"/>
        </w:rPr>
        <w:t>contrasts=c('</w:t>
      </w:r>
      <w:proofErr w:type="spellStart"/>
      <w:r>
        <w:rPr>
          <w:rFonts w:ascii="Courier New" w:eastAsia="Courier New" w:hAnsi="Courier New" w:cs="Courier New"/>
        </w:rPr>
        <w:t>contr.sum</w:t>
      </w:r>
      <w:proofErr w:type="spellEnd"/>
      <w:r>
        <w:rPr>
          <w:rFonts w:ascii="Courier New" w:eastAsia="Courier New" w:hAnsi="Courier New" w:cs="Courier New"/>
        </w:rPr>
        <w:t>', '</w:t>
      </w:r>
      <w:proofErr w:type="spellStart"/>
      <w:r>
        <w:rPr>
          <w:rFonts w:ascii="Courier New" w:eastAsia="Courier New" w:hAnsi="Courier New" w:cs="Courier New"/>
        </w:rPr>
        <w:t>contr.poly</w:t>
      </w:r>
      <w:proofErr w:type="spellEnd"/>
      <w:r>
        <w:rPr>
          <w:rFonts w:ascii="Courier New" w:eastAsia="Courier New" w:hAnsi="Courier New" w:cs="Courier New"/>
        </w:rPr>
        <w:t xml:space="preserve">'))   </w:t>
      </w:r>
      <w:r>
        <w:rPr>
          <w:rFonts w:ascii="Courier New" w:eastAsia="Courier New" w:hAnsi="Courier New" w:cs="Courier New"/>
          <w:vertAlign w:val="superscript"/>
        </w:rPr>
        <w:footnoteReference w:id="5"/>
      </w:r>
    </w:p>
    <w:p w:rsidR="00DE372A" w:rsidRDefault="00DE372A">
      <w:pPr>
        <w:bidi/>
      </w:pPr>
    </w:p>
    <w:tbl>
      <w:tblPr>
        <w:tblStyle w:val="a"/>
        <w:bidiVisual/>
        <w:tblW w:w="10466" w:type="dxa"/>
        <w:tblInd w:w="-17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DE372A" w:rsidTr="004D2BD0">
        <w:tc>
          <w:tcPr>
            <w:tcW w:w="104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372A" w:rsidRDefault="00B82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 xml:space="preserve">אם אתם מבצעים ניתוחי שונות בעזרת חבילת </w:t>
            </w:r>
            <w:proofErr w:type="spellStart"/>
            <w:r>
              <w:rPr>
                <w:rFonts w:ascii="Courier New" w:eastAsia="Courier New" w:hAnsi="Courier New" w:cs="Courier New"/>
              </w:rPr>
              <w:t>afex</w:t>
            </w:r>
            <w:proofErr w:type="spellEnd"/>
            <w:r>
              <w:t xml:space="preserve">, </w:t>
            </w:r>
            <w:hyperlink r:id="rId14">
              <w:r>
                <w:rPr>
                  <w:color w:val="1155CC"/>
                  <w:u w:val="single"/>
                  <w:rtl/>
                </w:rPr>
                <w:t>אין</w:t>
              </w:r>
            </w:hyperlink>
            <w:hyperlink r:id="rId15">
              <w:r>
                <w:rPr>
                  <w:color w:val="1155CC"/>
                  <w:u w:val="single"/>
                  <w:rtl/>
                </w:rPr>
                <w:t xml:space="preserve"> </w:t>
              </w:r>
            </w:hyperlink>
            <w:hyperlink r:id="rId16">
              <w:r>
                <w:rPr>
                  <w:color w:val="1155CC"/>
                  <w:u w:val="single"/>
                  <w:rtl/>
                </w:rPr>
                <w:t>צורך</w:t>
              </w:r>
            </w:hyperlink>
            <w:hyperlink r:id="rId17">
              <w:r>
                <w:rPr>
                  <w:color w:val="1155CC"/>
                  <w:u w:val="single"/>
                  <w:rtl/>
                </w:rPr>
                <w:t xml:space="preserve"> </w:t>
              </w:r>
            </w:hyperlink>
            <w:hyperlink r:id="rId18">
              <w:r>
                <w:rPr>
                  <w:color w:val="1155CC"/>
                  <w:u w:val="single"/>
                  <w:rtl/>
                </w:rPr>
                <w:t>לעשות</w:t>
              </w:r>
            </w:hyperlink>
            <w:hyperlink r:id="rId19">
              <w:r>
                <w:rPr>
                  <w:color w:val="1155CC"/>
                  <w:u w:val="single"/>
                  <w:rtl/>
                </w:rPr>
                <w:t xml:space="preserve"> </w:t>
              </w:r>
            </w:hyperlink>
            <w:hyperlink r:id="rId20">
              <w:r>
                <w:rPr>
                  <w:color w:val="1155CC"/>
                  <w:u w:val="single"/>
                  <w:rtl/>
                </w:rPr>
                <w:t>את</w:t>
              </w:r>
            </w:hyperlink>
            <w:hyperlink r:id="rId21">
              <w:r>
                <w:rPr>
                  <w:color w:val="1155CC"/>
                  <w:u w:val="single"/>
                  <w:rtl/>
                </w:rPr>
                <w:t xml:space="preserve"> </w:t>
              </w:r>
            </w:hyperlink>
            <w:hyperlink r:id="rId22">
              <w:r>
                <w:rPr>
                  <w:color w:val="1155CC"/>
                  <w:u w:val="single"/>
                  <w:rtl/>
                </w:rPr>
                <w:t>זה</w:t>
              </w:r>
            </w:hyperlink>
            <w:r>
              <w:rPr>
                <w:rtl/>
              </w:rPr>
              <w:t xml:space="preserve">, כי </w:t>
            </w:r>
            <w:proofErr w:type="spellStart"/>
            <w:r>
              <w:rPr>
                <w:rFonts w:ascii="Courier New" w:eastAsia="Courier New" w:hAnsi="Courier New" w:cs="Courier New"/>
              </w:rPr>
              <w:t>afex</w:t>
            </w:r>
            <w:proofErr w:type="spellEnd"/>
            <w:r>
              <w:rPr>
                <w:rtl/>
              </w:rPr>
              <w:t xml:space="preserve"> עושה את זה עבור המודל המחושב מאחורי הקלעים – אבל זה לא יזיק לאמץ את זה כהרגל. אבל… </w:t>
            </w:r>
            <w:proofErr w:type="spellStart"/>
            <w:r>
              <w:rPr>
                <w:rFonts w:ascii="Courier New" w:eastAsia="Courier New" w:hAnsi="Courier New" w:cs="Courier New"/>
              </w:rPr>
              <w:t>afex</w:t>
            </w:r>
            <w:proofErr w:type="spellEnd"/>
            <w:r>
              <w:t xml:space="preserve"> </w:t>
            </w:r>
            <w:hyperlink r:id="rId23">
              <w:r>
                <w:rPr>
                  <w:color w:val="1155CC"/>
                  <w:u w:val="single"/>
                  <w:rtl/>
                </w:rPr>
                <w:t>לא</w:t>
              </w:r>
            </w:hyperlink>
            <w:hyperlink r:id="rId24">
              <w:r>
                <w:rPr>
                  <w:color w:val="1155CC"/>
                  <w:u w:val="single"/>
                  <w:rtl/>
                </w:rPr>
                <w:t xml:space="preserve"> </w:t>
              </w:r>
            </w:hyperlink>
            <w:hyperlink r:id="rId25">
              <w:r>
                <w:rPr>
                  <w:color w:val="1155CC"/>
                  <w:u w:val="single"/>
                  <w:rtl/>
                </w:rPr>
                <w:t>ממרכז</w:t>
              </w:r>
            </w:hyperlink>
            <w:hyperlink r:id="rId26">
              <w:r>
                <w:rPr>
                  <w:color w:val="1155CC"/>
                  <w:u w:val="single"/>
                  <w:rtl/>
                </w:rPr>
                <w:t xml:space="preserve"> </w:t>
              </w:r>
            </w:hyperlink>
            <w:hyperlink r:id="rId27">
              <w:r>
                <w:rPr>
                  <w:color w:val="1155CC"/>
                  <w:u w:val="single"/>
                  <w:rtl/>
                </w:rPr>
                <w:t>משת</w:t>
              </w:r>
              <w:r>
                <w:rPr>
                  <w:color w:val="1155CC"/>
                  <w:u w:val="single"/>
                  <w:rtl/>
                </w:rPr>
                <w:t>נים</w:t>
              </w:r>
            </w:hyperlink>
            <w:hyperlink r:id="rId28">
              <w:r>
                <w:rPr>
                  <w:color w:val="1155CC"/>
                  <w:u w:val="single"/>
                  <w:rtl/>
                </w:rPr>
                <w:t xml:space="preserve"> </w:t>
              </w:r>
            </w:hyperlink>
            <w:hyperlink r:id="rId29">
              <w:r>
                <w:rPr>
                  <w:color w:val="1155CC"/>
                  <w:u w:val="single"/>
                  <w:rtl/>
                </w:rPr>
                <w:t>רציפים</w:t>
              </w:r>
            </w:hyperlink>
            <w:r>
              <w:rPr>
                <w:rtl/>
              </w:rPr>
              <w:t xml:space="preserve"> בניתוחי </w:t>
            </w:r>
            <w:r>
              <w:t>ANCOVA</w:t>
            </w:r>
            <w:r>
              <w:rPr>
                <w:rtl/>
              </w:rPr>
              <w:t xml:space="preserve"> (וכיוון ש</w:t>
            </w:r>
            <w:r>
              <w:t>JASP</w:t>
            </w:r>
            <w:r>
              <w:rPr>
                <w:rtl/>
              </w:rPr>
              <w:t xml:space="preserve"> עושה </w:t>
            </w:r>
            <w:r>
              <w:t>ANOVA/ANCOVA</w:t>
            </w:r>
            <w:r>
              <w:rPr>
                <w:rtl/>
              </w:rPr>
              <w:t xml:space="preserve"> עם </w:t>
            </w:r>
            <w:proofErr w:type="spellStart"/>
            <w:r>
              <w:t>afex</w:t>
            </w:r>
            <w:proofErr w:type="spellEnd"/>
            <w:r>
              <w:rPr>
                <w:rtl/>
              </w:rPr>
              <w:t xml:space="preserve">, זה נכון גם עבור </w:t>
            </w:r>
            <w:r>
              <w:t>JASP</w:t>
            </w:r>
            <w:r>
              <w:rPr>
                <w:rtl/>
              </w:rPr>
              <w:t>).</w:t>
            </w:r>
          </w:p>
          <w:p w:rsidR="00DE372A" w:rsidRDefault="00B823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כאשר עושים ניתוח שונות ב־</w:t>
            </w:r>
            <w:proofErr w:type="spellStart"/>
            <w:r>
              <w:t>Statistica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וב</w:t>
            </w:r>
            <w:proofErr w:type="spellEnd"/>
            <w:r>
              <w:rPr>
                <w:rtl/>
              </w:rPr>
              <w:t>־</w:t>
            </w:r>
            <w:r>
              <w:t>SPS</w:t>
            </w:r>
            <w:r>
              <w:t>S</w:t>
            </w:r>
            <w:r>
              <w:rPr>
                <w:rtl/>
              </w:rPr>
              <w:t>, המשתנים הקטגוריאליים עוברים אוטומטית את ה"מרכוז" הזה עבור משתנים קטגוריאליים. אבל… בדיקה העלתה ש־</w:t>
            </w:r>
            <w:proofErr w:type="spellStart"/>
            <w:r>
              <w:t>Statistica</w:t>
            </w:r>
            <w:proofErr w:type="spellEnd"/>
            <w:r>
              <w:rPr>
                <w:rtl/>
              </w:rPr>
              <w:t xml:space="preserve"> לא ממרכז משתנים רציפים ב</w:t>
            </w:r>
            <w:r>
              <w:t>ANCOVA</w:t>
            </w:r>
            <w:r>
              <w:rPr>
                <w:rtl/>
              </w:rPr>
              <w:t>. (הדבר טרם נבדק ב</w:t>
            </w:r>
            <w:r>
              <w:t>SPSS</w:t>
            </w:r>
            <w:r>
              <w:rPr>
                <w:rtl/>
              </w:rPr>
              <w:t>.)</w:t>
            </w:r>
          </w:p>
        </w:tc>
      </w:tr>
    </w:tbl>
    <w:p w:rsidR="00DE372A" w:rsidRDefault="00DE372A"/>
    <w:p w:rsidR="00DE372A" w:rsidRDefault="00B82389">
      <w:pPr>
        <w:pStyle w:val="Heading1"/>
        <w:bidi/>
      </w:pPr>
      <w:bookmarkStart w:id="9" w:name="_70xgepsfplw9" w:colFirst="0" w:colLast="0"/>
      <w:bookmarkEnd w:id="9"/>
      <w:r>
        <w:rPr>
          <w:rtl/>
        </w:rPr>
        <w:t>הרחבה</w:t>
      </w:r>
    </w:p>
    <w:p w:rsidR="00DE372A" w:rsidRDefault="00B82389">
      <w:pPr>
        <w:bidi/>
      </w:pPr>
      <w:r>
        <w:rPr>
          <w:b/>
          <w:u w:val="single"/>
          <w:rtl/>
        </w:rPr>
        <w:t>הרחבה:</w:t>
      </w:r>
      <w:r>
        <w:rPr>
          <w:rtl/>
        </w:rPr>
        <w:t xml:space="preserve"> כשאנחנו מחשבים </w:t>
      </w:r>
      <w:r>
        <w:rPr>
          <w:rtl/>
        </w:rPr>
        <w:t xml:space="preserve">טבלאות </w:t>
      </w:r>
      <w:r>
        <w:t>ANOVA</w:t>
      </w:r>
      <w:r>
        <w:rPr>
          <w:rtl/>
        </w:rPr>
        <w:t>, השונות של כל משתנה (אם לדייק, ה</w:t>
      </w:r>
      <w:r>
        <w:t>SS</w:t>
      </w:r>
      <w:r>
        <w:rPr>
          <w:rtl/>
        </w:rPr>
        <w:t xml:space="preserve"> של האפקט) מחושב כאשר שאר המשתנים מוחזקים קבועים ב0 (שוב, כמו שיפועים במודל רגרסיה). נניח את המודל הבא: מודל מלא (אפקטים עיקריים + </w:t>
      </w:r>
      <w:proofErr w:type="spellStart"/>
      <w:r>
        <w:rPr>
          <w:rtl/>
        </w:rPr>
        <w:t>אינטרקציה</w:t>
      </w:r>
      <w:proofErr w:type="spellEnd"/>
      <w:r>
        <w:rPr>
          <w:rtl/>
        </w:rPr>
        <w:t xml:space="preserve">) עם משתנים קטגוריאליים </w:t>
      </w:r>
      <w:r>
        <w:t>A</w:t>
      </w:r>
      <w:r>
        <w:rPr>
          <w:rtl/>
        </w:rPr>
        <w:t xml:space="preserve"> ו־</w:t>
      </w:r>
      <w:r>
        <w:t>B</w:t>
      </w:r>
      <w:r>
        <w:rPr>
          <w:rtl/>
        </w:rPr>
        <w:t xml:space="preserve">, כאשר משתנה </w:t>
      </w:r>
      <w:r>
        <w:t>B</w:t>
      </w:r>
      <w:r>
        <w:rPr>
          <w:rtl/>
        </w:rPr>
        <w:t xml:space="preserve"> מקודד למשתני דמה המקודדים</w:t>
      </w:r>
      <w:r>
        <w:rPr>
          <w:rtl/>
        </w:rPr>
        <w:t xml:space="preserve"> </w:t>
      </w:r>
      <w:r>
        <w:rPr>
          <w:i/>
          <w:rtl/>
        </w:rPr>
        <w:t>ביחס לקבוצת בסיס</w:t>
      </w:r>
      <w:r>
        <w:rPr>
          <w:rtl/>
        </w:rPr>
        <w:t xml:space="preserve"> אחת – </w:t>
      </w:r>
      <w:r>
        <w:t>b</w:t>
      </w:r>
      <w:r>
        <w:rPr>
          <w:rtl/>
        </w:rPr>
        <w:t xml:space="preserve">1. כאשר אנחנו מחשבים את </w:t>
      </w:r>
      <w:r>
        <w:t>SSA</w:t>
      </w:r>
      <w:r>
        <w:rPr>
          <w:rtl/>
        </w:rPr>
        <w:t xml:space="preserve">, הדבר נעשה כאשר כל משתני הדמה של </w:t>
      </w:r>
      <w:r>
        <w:t>B</w:t>
      </w:r>
      <w:r>
        <w:rPr>
          <w:rtl/>
        </w:rPr>
        <w:t xml:space="preserve"> מוחזקים ב0. אבל… במצב כזה, </w:t>
      </w:r>
      <w:r>
        <w:t>SSA</w:t>
      </w:r>
      <w:r>
        <w:rPr>
          <w:rtl/>
        </w:rPr>
        <w:t xml:space="preserve"> יחושב לא סביב הממוצע מעבר ל</w:t>
      </w:r>
      <w:r>
        <w:t>B</w:t>
      </w:r>
      <w:r>
        <w:rPr>
          <w:rtl/>
        </w:rPr>
        <w:t xml:space="preserve">, אלא סביב הממוצע של </w:t>
      </w:r>
      <w:r>
        <w:t>b</w:t>
      </w:r>
      <w:r>
        <w:rPr>
          <w:rtl/>
        </w:rPr>
        <w:t xml:space="preserve">1! ("קל להוכיח" שלדבר יש משמעות רק כאשר </w:t>
      </w:r>
      <w:proofErr w:type="spellStart"/>
      <w:r>
        <w:rPr>
          <w:rtl/>
        </w:rPr>
        <w:t>מידלנו</w:t>
      </w:r>
      <w:proofErr w:type="spellEnd"/>
      <w:r>
        <w:rPr>
          <w:rtl/>
        </w:rPr>
        <w:t xml:space="preserve"> את </w:t>
      </w:r>
      <w:proofErr w:type="spellStart"/>
      <w:r>
        <w:rPr>
          <w:rtl/>
        </w:rPr>
        <w:t>האינטרקציה</w:t>
      </w:r>
      <w:proofErr w:type="spellEnd"/>
      <w:r>
        <w:rPr>
          <w:rtl/>
        </w:rPr>
        <w:t xml:space="preserve"> בין </w:t>
      </w:r>
      <w:r>
        <w:t>A</w:t>
      </w:r>
      <w:r>
        <w:rPr>
          <w:rtl/>
        </w:rPr>
        <w:t xml:space="preserve"> ו־</w:t>
      </w:r>
      <w:r>
        <w:t>B</w:t>
      </w:r>
      <w:r>
        <w:rPr>
          <w:rtl/>
        </w:rPr>
        <w:t xml:space="preserve">; "קל להוכיח" גם </w:t>
      </w:r>
      <w:r>
        <w:rPr>
          <w:rtl/>
        </w:rPr>
        <w:t>שהדבר נכון גם עבור משתנים רציפים).</w:t>
      </w:r>
    </w:p>
    <w:p w:rsidR="00DE372A" w:rsidRDefault="00B82389">
      <w:pPr>
        <w:bidi/>
      </w:pPr>
      <w:r>
        <w:rPr>
          <w:b/>
          <w:u w:val="single"/>
          <w:rtl/>
        </w:rPr>
        <w:t>הרחבה 2:</w:t>
      </w:r>
      <w:r>
        <w:rPr>
          <w:rtl/>
        </w:rPr>
        <w:t xml:space="preserve"> "אבל," אני שומע אתכם זועקים, "כשלמדנו ניתוח שונות לא למדנו שצריך למרכז! או לקודד משתני דמה, או שום דבר כזה!" ואתם כמובן צודקים – לא למדתם את זה בצורה מפורשת, אבל אם תסתכלו על המשוואות של ניתוח שונות, אפשר לראות ש</w:t>
      </w:r>
      <w:r>
        <w:rPr>
          <w:rtl/>
        </w:rPr>
        <w:t>ה</w:t>
      </w:r>
      <w:r>
        <w:t>SS</w:t>
      </w:r>
      <w:r>
        <w:rPr>
          <w:rtl/>
        </w:rPr>
        <w:t xml:space="preserve"> של כל גורם מחושב מעבר לממוצע של שאר הגורמים. למשל, בחישוב </w:t>
      </w:r>
      <w:r>
        <w:t>SSAB</w:t>
      </w:r>
      <w:r>
        <w:rPr>
          <w:rtl/>
        </w:rPr>
        <w:t xml:space="preserve">, אנחנו מחסירים קודם כל את התרומה של </w:t>
      </w:r>
      <w:r>
        <w:t>A</w:t>
      </w:r>
      <w:r>
        <w:rPr>
          <w:rtl/>
        </w:rPr>
        <w:t xml:space="preserve"> ואת התרומה של </w:t>
      </w:r>
      <w:r>
        <w:t>B</w:t>
      </w:r>
      <w:r>
        <w:rPr>
          <w:rtl/>
        </w:rPr>
        <w:t xml:space="preserve"> (לפי הממוצעים השוליים של </w:t>
      </w:r>
      <w:r>
        <w:t>A</w:t>
      </w:r>
      <w:r>
        <w:rPr>
          <w:rtl/>
        </w:rPr>
        <w:t xml:space="preserve"> ו־</w:t>
      </w:r>
      <w:r>
        <w:t>B</w:t>
      </w:r>
      <w:r>
        <w:rPr>
          <w:rtl/>
        </w:rPr>
        <w:t>) – תהליך זה שווה ערך למרכוז!:</w:t>
      </w:r>
    </w:p>
    <w:p w:rsidR="00DE372A" w:rsidRDefault="00B82389">
      <w:pPr>
        <w:jc w:val="center"/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a.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DE372A" w:rsidRDefault="00B82389">
      <w:pPr>
        <w:bidi/>
      </w:pPr>
      <w:r>
        <w:rPr>
          <w:rtl/>
        </w:rPr>
        <w:lastRenderedPageBreak/>
        <w:t xml:space="preserve">… גם בחישוב של </w:t>
      </w:r>
      <w:r>
        <w:t>SS</w:t>
      </w:r>
      <w:r>
        <w:rPr>
          <w:rtl/>
        </w:rPr>
        <w:t xml:space="preserve"> של אפקט עיקרי אנח</w:t>
      </w:r>
      <w:r>
        <w:rPr>
          <w:rtl/>
        </w:rPr>
        <w:t xml:space="preserve">נו עושים זאת מעבר לממוצעים המותנים על ידי </w:t>
      </w:r>
      <w:r>
        <w:t>B</w:t>
      </w:r>
      <w:r>
        <w:rPr>
          <w:rtl/>
        </w:rPr>
        <w:t xml:space="preserve">, ולמעשה היה ניתן לכתוב מחדש את נוסחת </w:t>
      </w:r>
      <w:r>
        <w:t>SSA</w:t>
      </w:r>
      <w:r>
        <w:rPr>
          <w:rtl/>
        </w:rPr>
        <w:t xml:space="preserve"> כך שתייצג באופן פורמלי את המרכוז של </w:t>
      </w:r>
      <w:r>
        <w:t>B</w:t>
      </w:r>
      <w:r>
        <w:rPr>
          <w:rtl/>
        </w:rPr>
        <w:t xml:space="preserve"> (את ההפחתה של התרומה של </w:t>
      </w:r>
      <w:r>
        <w:t>B</w:t>
      </w:r>
      <w:r>
        <w:rPr>
          <w:rtl/>
        </w:rPr>
        <w:t xml:space="preserve"> ושל התרומה של </w:t>
      </w:r>
      <w:r>
        <w:t>A</w:t>
      </w:r>
      <w:r>
        <w:rPr>
          <w:rtl/>
        </w:rPr>
        <w:t xml:space="preserve"> בתנאי </w:t>
      </w:r>
      <w:r>
        <w:t>B</w:t>
      </w:r>
      <w:r>
        <w:rPr>
          <w:rtl/>
        </w:rPr>
        <w:t xml:space="preserve"> – כלומר אחרי מרכוז של </w:t>
      </w:r>
      <w:r>
        <w:t>B</w:t>
      </w:r>
      <w:r>
        <w:rPr>
          <w:rtl/>
        </w:rPr>
        <w:t>), אבל זה מסובך מאד ומיותר עוד יותר:</w:t>
      </w:r>
    </w:p>
    <w:p w:rsidR="00DE372A" w:rsidRDefault="00B82389">
      <w:pPr>
        <w:jc w:val="center"/>
      </w:pPr>
      <m:oMathPara>
        <m:oMath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nj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̄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a.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̄"/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..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-(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)-(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a.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.b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)-</m:t>
                  </m:r>
                  <m:acc>
                    <m:accPr>
                      <m:chr m:val="̄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</m:sub>
                      </m:sSub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DE372A" w:rsidRDefault="00B82389">
      <w:pPr>
        <w:bidi/>
      </w:pPr>
      <w:r>
        <w:rPr>
          <w:rtl/>
        </w:rPr>
        <w:t xml:space="preserve">פועל יוצא הוא שהמרכוז של משתנה </w:t>
      </w:r>
      <w:proofErr w:type="spellStart"/>
      <w:r>
        <w:rPr>
          <w:rtl/>
        </w:rPr>
        <w:t>מסויים</w:t>
      </w:r>
      <w:proofErr w:type="spellEnd"/>
      <w:r>
        <w:rPr>
          <w:rtl/>
        </w:rPr>
        <w:t xml:space="preserve"> משפיע רק על ה</w:t>
      </w:r>
      <w:r>
        <w:t>SS</w:t>
      </w:r>
      <w:r>
        <w:rPr>
          <w:rtl/>
        </w:rPr>
        <w:t xml:space="preserve"> של האפקטים העיקריים של משתנים שבאים </w:t>
      </w:r>
      <w:proofErr w:type="spellStart"/>
      <w:r>
        <w:rPr>
          <w:rtl/>
        </w:rPr>
        <w:t>איתו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באינטרקציה</w:t>
      </w:r>
      <w:proofErr w:type="spellEnd"/>
      <w:r>
        <w:rPr>
          <w:rtl/>
        </w:rPr>
        <w:t>, ולא על ה</w:t>
      </w:r>
      <w:r>
        <w:t>SS</w:t>
      </w:r>
      <w:r>
        <w:rPr>
          <w:rtl/>
        </w:rPr>
        <w:t xml:space="preserve"> של משתנה עצמו</w:t>
      </w:r>
      <w:r w:rsidR="004D2BD0">
        <w:rPr>
          <w:rFonts w:hint="cs"/>
          <w:rtl/>
        </w:rPr>
        <w:t>.</w:t>
      </w:r>
    </w:p>
    <w:sectPr w:rsidR="00DE372A">
      <w:pgSz w:w="11906" w:h="16838"/>
      <w:pgMar w:top="720" w:right="720" w:bottom="720" w:left="720" w:header="0" w:footer="720" w:gutter="0"/>
      <w:pgNumType w:start="1"/>
      <w:cols w:space="720" w:equalWidth="0">
        <w:col w:w="8640"/>
      </w:cols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389" w:rsidRDefault="00B82389">
      <w:pPr>
        <w:spacing w:line="240" w:lineRule="auto"/>
      </w:pPr>
      <w:r>
        <w:separator/>
      </w:r>
    </w:p>
  </w:endnote>
  <w:endnote w:type="continuationSeparator" w:id="0">
    <w:p w:rsidR="00B82389" w:rsidRDefault="00B82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389" w:rsidRDefault="00B82389">
      <w:pPr>
        <w:spacing w:line="240" w:lineRule="auto"/>
      </w:pPr>
      <w:r>
        <w:separator/>
      </w:r>
    </w:p>
  </w:footnote>
  <w:footnote w:type="continuationSeparator" w:id="0">
    <w:p w:rsidR="00B82389" w:rsidRDefault="00B82389">
      <w:pPr>
        <w:spacing w:line="240" w:lineRule="auto"/>
      </w:pPr>
      <w:r>
        <w:continuationSeparator/>
      </w:r>
    </w:p>
  </w:footnote>
  <w:footnote w:id="1">
    <w:p w:rsidR="00DE372A" w:rsidRDefault="00B82389">
      <w:pPr>
        <w:bidi/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  <w:rtl/>
        </w:rPr>
        <w:t xml:space="preserve"> לא מדובר כאן על טבלאות </w:t>
      </w:r>
      <w:r>
        <w:rPr>
          <w:sz w:val="20"/>
          <w:szCs w:val="20"/>
        </w:rPr>
        <w:t>ANOVA</w:t>
      </w:r>
      <w:r>
        <w:rPr>
          <w:sz w:val="20"/>
          <w:szCs w:val="20"/>
          <w:rtl/>
        </w:rPr>
        <w:t xml:space="preserve"> להשוואה בין מודלים, אלא על מה שקוראים לו בדר</w:t>
      </w:r>
      <w:r>
        <w:rPr>
          <w:sz w:val="20"/>
          <w:szCs w:val="20"/>
          <w:rtl/>
        </w:rPr>
        <w:t>ך כלל "ניתוח שונות".</w:t>
      </w:r>
    </w:p>
  </w:footnote>
  <w:footnote w:id="2">
    <w:p w:rsidR="00DE372A" w:rsidRDefault="00B82389">
      <w:pPr>
        <w:bidi/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 xml:space="preserve">אם כי הדבר יהיה מיותר טבלת </w:t>
      </w:r>
      <w:r>
        <w:rPr>
          <w:sz w:val="20"/>
          <w:szCs w:val="20"/>
        </w:rPr>
        <w:t>ANOVA</w:t>
      </w:r>
      <w:r>
        <w:rPr>
          <w:sz w:val="20"/>
          <w:szCs w:val="20"/>
          <w:rtl/>
        </w:rPr>
        <w:t xml:space="preserve"> עבור מודל עם משתנים רציפים בלבד יהיה שווה בדיוק לבחינת מובהקות השיפועים של כל משתנה.</w:t>
      </w:r>
    </w:p>
  </w:footnote>
  <w:footnote w:id="3">
    <w:p w:rsidR="00DE372A" w:rsidRDefault="00B82389">
      <w:pPr>
        <w:bidi/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 xml:space="preserve">אגב, מרכוז של המשתנה התלוי לא משפיע על התוצאות של טבלאות </w:t>
      </w:r>
      <w:r>
        <w:rPr>
          <w:sz w:val="20"/>
          <w:szCs w:val="20"/>
        </w:rPr>
        <w:t>ANOVA/ANCOVA</w:t>
      </w:r>
      <w:r>
        <w:rPr>
          <w:sz w:val="20"/>
          <w:szCs w:val="20"/>
          <w:rtl/>
        </w:rPr>
        <w:t xml:space="preserve"> (כלומר, הוא כן, אבל רק על ה</w:t>
      </w:r>
      <w:r>
        <w:rPr>
          <w:sz w:val="20"/>
          <w:szCs w:val="20"/>
        </w:rPr>
        <w:t>intercept</w:t>
      </w:r>
      <w:r>
        <w:rPr>
          <w:sz w:val="20"/>
          <w:szCs w:val="20"/>
          <w:rtl/>
        </w:rPr>
        <w:t>, ונראה שלאף אחד לא אכפת ממנו).</w:t>
      </w:r>
    </w:p>
  </w:footnote>
  <w:footnote w:id="4">
    <w:p w:rsidR="00DE372A" w:rsidRDefault="00B82389">
      <w:pPr>
        <w:bidi/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 xml:space="preserve">על אף שמומלץ למרכז משתנים עבור מודלים של מיתון ברגרסיה, בחישוב טבלאות </w:t>
      </w:r>
      <w:r>
        <w:rPr>
          <w:sz w:val="20"/>
          <w:szCs w:val="20"/>
        </w:rPr>
        <w:t>ANOVA</w:t>
      </w:r>
      <w:r>
        <w:rPr>
          <w:sz w:val="20"/>
          <w:szCs w:val="20"/>
          <w:rtl/>
        </w:rPr>
        <w:t xml:space="preserve"> מדובר בחובה של ממש (</w:t>
      </w:r>
      <w:hyperlink r:id="rId1">
        <w:proofErr w:type="spellStart"/>
        <w:r>
          <w:rPr>
            <w:color w:val="1155CC"/>
            <w:sz w:val="20"/>
            <w:szCs w:val="20"/>
            <w:u w:val="single"/>
          </w:rPr>
          <w:t>Dalal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&amp; </w:t>
        </w:r>
        <w:proofErr w:type="spellStart"/>
        <w:r>
          <w:rPr>
            <w:color w:val="1155CC"/>
            <w:sz w:val="20"/>
            <w:szCs w:val="20"/>
            <w:u w:val="single"/>
          </w:rPr>
          <w:t>Zickar</w:t>
        </w:r>
        <w:proofErr w:type="spellEnd"/>
        <w:r>
          <w:rPr>
            <w:color w:val="1155CC"/>
            <w:sz w:val="20"/>
            <w:szCs w:val="20"/>
            <w:u w:val="single"/>
          </w:rPr>
          <w:t>, 2011</w:t>
        </w:r>
      </w:hyperlink>
      <w:r w:rsidR="004D2BD0">
        <w:rPr>
          <w:rFonts w:hint="cs"/>
          <w:sz w:val="20"/>
          <w:szCs w:val="20"/>
          <w:rtl/>
        </w:rPr>
        <w:t>).</w:t>
      </w:r>
    </w:p>
  </w:footnote>
  <w:footnote w:id="5">
    <w:p w:rsidR="00DE372A" w:rsidRDefault="00B82389">
      <w:pPr>
        <w:bidi/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 xml:space="preserve">יש לציין כי זה יהפוך את מקדמי הרגרסיה של משתני הדמה לקשים לפרשנות, אבל בטבלאות </w:t>
      </w:r>
      <w:r>
        <w:rPr>
          <w:sz w:val="20"/>
          <w:szCs w:val="20"/>
        </w:rPr>
        <w:t>ANOVA</w:t>
      </w:r>
      <w:r>
        <w:rPr>
          <w:sz w:val="20"/>
          <w:szCs w:val="20"/>
          <w:rtl/>
        </w:rPr>
        <w:t xml:space="preserve"> אנחנו לא</w:t>
      </w:r>
      <w:r>
        <w:rPr>
          <w:sz w:val="20"/>
          <w:szCs w:val="20"/>
          <w:rtl/>
        </w:rPr>
        <w:t xml:space="preserve"> עוסקים כאן במידול שיפועים של משתני דמה, אלא מעניין אותו האפקט העיקרי למשתנה עצמו.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72A"/>
    <w:rsid w:val="004D2BD0"/>
    <w:rsid w:val="00B82389"/>
    <w:rsid w:val="00DE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0517"/>
  <w15:docId w15:val="{73D255D3-492D-4BD0-9F34-4DCA1A09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BD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ni.nimh.nih.gov/pub/dist/doc/htmldoc/STATISTICS/center.html" TargetMode="External"/><Relationship Id="rId13" Type="http://schemas.openxmlformats.org/officeDocument/2006/relationships/hyperlink" Target="http://singmann.org/download/publications/singmann_kellen-introduction-mixed-models.pdf" TargetMode="External"/><Relationship Id="rId18" Type="http://schemas.openxmlformats.org/officeDocument/2006/relationships/hyperlink" Target="https://github.com/singmann/afex/issues/63" TargetMode="External"/><Relationship Id="rId26" Type="http://schemas.openxmlformats.org/officeDocument/2006/relationships/hyperlink" Target="https://github.com/singmann/afex/issues/5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ingmann/afex/issues/63" TargetMode="External"/><Relationship Id="rId7" Type="http://schemas.openxmlformats.org/officeDocument/2006/relationships/hyperlink" Target="https://afni.nimh.nih.gov/pub/dist/doc/htmldoc/STATISTICS/center.html" TargetMode="External"/><Relationship Id="rId12" Type="http://schemas.openxmlformats.org/officeDocument/2006/relationships/hyperlink" Target="https://books.google.co.il/books?hl=iw&amp;lr=&amp;id=LcWLUyXcmnkC" TargetMode="External"/><Relationship Id="rId17" Type="http://schemas.openxmlformats.org/officeDocument/2006/relationships/hyperlink" Target="https://github.com/singmann/afex/issues/63" TargetMode="External"/><Relationship Id="rId25" Type="http://schemas.openxmlformats.org/officeDocument/2006/relationships/hyperlink" Target="https://github.com/singmann/afex/issues/5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ingmann/afex/issues/63" TargetMode="External"/><Relationship Id="rId20" Type="http://schemas.openxmlformats.org/officeDocument/2006/relationships/hyperlink" Target="https://github.com/singmann/afex/issues/63" TargetMode="External"/><Relationship Id="rId29" Type="http://schemas.openxmlformats.org/officeDocument/2006/relationships/hyperlink" Target="https://github.com/singmann/afex/issues/59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77%2F1094428111430540" TargetMode="External"/><Relationship Id="rId11" Type="http://schemas.openxmlformats.org/officeDocument/2006/relationships/hyperlink" Target="http://singmann.org/download/publications/singmann_kellen-introduction-mixed-models.pdf" TargetMode="External"/><Relationship Id="rId24" Type="http://schemas.openxmlformats.org/officeDocument/2006/relationships/hyperlink" Target="https://github.com/singmann/afex/issues/5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singmann/afex/issues/63" TargetMode="External"/><Relationship Id="rId23" Type="http://schemas.openxmlformats.org/officeDocument/2006/relationships/hyperlink" Target="https://github.com/singmann/afex/issues/59" TargetMode="External"/><Relationship Id="rId28" Type="http://schemas.openxmlformats.org/officeDocument/2006/relationships/hyperlink" Target="https://github.com/singmann/afex/issues/59" TargetMode="External"/><Relationship Id="rId10" Type="http://schemas.openxmlformats.org/officeDocument/2006/relationships/hyperlink" Target="https://books.google.co.il/books?hl=iw&amp;lr=&amp;id=LcWLUyXcmnkC" TargetMode="External"/><Relationship Id="rId19" Type="http://schemas.openxmlformats.org/officeDocument/2006/relationships/hyperlink" Target="https://github.com/singmann/afex/issues/63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stats.idre.ucla.edu/other/mult-pkg/faq/general/faqwhat-is-effect-coding/" TargetMode="External"/><Relationship Id="rId14" Type="http://schemas.openxmlformats.org/officeDocument/2006/relationships/hyperlink" Target="https://github.com/singmann/afex/issues/63" TargetMode="External"/><Relationship Id="rId22" Type="http://schemas.openxmlformats.org/officeDocument/2006/relationships/hyperlink" Target="https://github.com/singmann/afex/issues/63" TargetMode="External"/><Relationship Id="rId27" Type="http://schemas.openxmlformats.org/officeDocument/2006/relationships/hyperlink" Target="https://github.com/singmann/afex/issues/59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77%2F10944281114305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Matan S. Ben-Shachar</cp:lastModifiedBy>
  <cp:revision>2</cp:revision>
  <dcterms:created xsi:type="dcterms:W3CDTF">2019-04-04T12:37:00Z</dcterms:created>
  <dcterms:modified xsi:type="dcterms:W3CDTF">2019-04-04T12:41:00Z</dcterms:modified>
</cp:coreProperties>
</file>