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40"/>
        <w:jc w:val="center"/>
      </w:pPr>
      <w:r>
        <w:rPr>
          <w:rFonts w:ascii="Cambria" w:cs="Cambria" w:eastAsia="Cambria" w:hAnsi="Cambria"/>
          <w:b/>
          <w:bCs/>
          <w:color w:val="1B3A5C"/>
          <w:sz w:val="64"/>
          <w:szCs w:val="64"/>
        </w:rPr>
        <w:t xml:space="preserve">DharaAI</w:t>
      </w:r>
    </w:p>
    <w:p>
      <w:pPr>
        <w:spacing w:after="500"/>
        <w:jc w:val="center"/>
      </w:pPr>
      <w:r>
        <w:rPr>
          <w:rFonts w:ascii="Calibri" w:cs="Calibri" w:eastAsia="Calibri" w:hAnsi="Calibri"/>
          <w:i/>
          <w:iCs/>
          <w:color w:val="8C6A1F"/>
          <w:sz w:val="24"/>
          <w:szCs w:val="24"/>
        </w:rPr>
        <w:t xml:space="preserve">An AI-Powered Indian Legal Intelligence Platform</w:t>
      </w:r>
    </w:p>
    <w:p>
      <w:pPr>
        <w:pBdr>
          <w:top w:val="single" w:color="B8892B" w:sz="14" w:space="10"/>
          <w:bottom w:val="single" w:color="B8892B" w:sz="14" w:space="10"/>
        </w:pBdr>
        <w:spacing w:after="200" w:before="200"/>
        <w:jc w:val="center"/>
      </w:pPr>
      <w:r>
        <w:rPr>
          <w:rFonts w:ascii="Cambria" w:cs="Cambria" w:eastAsia="Cambria" w:hAnsi="Cambria"/>
          <w:b/>
          <w:bCs/>
          <w:color w:val="122840"/>
          <w:sz w:val="40"/>
          <w:szCs w:val="40"/>
        </w:rPr>
        <w:t xml:space="preserve">SOFTWARE REQUIREMENTS SPECIFICATION</w:t>
      </w:r>
    </w:p>
    <w:p>
      <w:pPr>
        <w:spacing w:after="700"/>
        <w:jc w:val="center"/>
      </w:pPr>
      <w:r>
        <w:rPr>
          <w:rFonts w:ascii="Calibri" w:cs="Calibri" w:eastAsia="Calibri" w:hAnsi="Calibri"/>
          <w:color w:val="5B6B7C"/>
          <w:sz w:val="24"/>
          <w:szCs w:val="24"/>
        </w:rPr>
        <w:t xml:space="preserve">Functional &amp; non-functional requirements for the DharaAI legal intelligence platform</w:t>
      </w:r>
    </w:p>
    <w:p>
      <w:pPr>
        <w:spacing w:after="600"/>
      </w:pPr>
    </w:p>
    <w:tbl>
      <w:tblPr>
        <w:tblW w:type="pct" w:w="70%"/>
        <w:jc w:val="center"/>
        <w:tblBorders>
          <w:top w:val="none" w:color="FFFFFF" w:sz="0"/>
          <w:left w:val="none" w:color="FFFFFF" w:sz="0"/>
          <w:bottom w:val="none" w:color="FFFFFF" w:sz="0"/>
          <w:right w:val="none" w:color="FFFFFF" w:sz="0"/>
          <w:insideH w:val="single" w:color="D7DEE6" w:sz="2"/>
          <w:insideV w:val="none" w:color="FFFFFF" w:sz="0"/>
        </w:tblBorders>
      </w:tblPr>
      <w:tblGrid>
        <w:gridCol w:w="100"/>
        <w:gridCol w:w="100"/>
      </w:tblGrid>
      <w:tr>
        <w:tc>
          <w:tcPr>
            <w:tcW w:type="pct" w:w="32%"/>
            <w:tcMar>
              <w:top w:type="dxa" w:w="90"/>
              <w:left w:type="dxa" w:w="110"/>
              <w:bottom w:type="dxa" w:w="90"/>
              <w:right w:type="dxa" w:w="110"/>
            </w:tcMar>
            <w:vAlign w:val="center"/>
          </w:tcPr>
          <w:p>
            <w:pPr>
              <w:spacing w:after="0"/>
              <w:jc w:val="left"/>
            </w:pPr>
            <w:r>
              <w:rPr>
                <w:rFonts w:ascii="Calibri" w:cs="Calibri" w:eastAsia="Calibri" w:hAnsi="Calibri"/>
                <w:b/>
                <w:bCs/>
                <w:i w:val="false"/>
                <w:iCs w:val="false"/>
                <w:color w:val="5B6B7C"/>
                <w:sz w:val="19"/>
                <w:szCs w:val="19"/>
              </w:rPr>
              <w:t xml:space="preserve">Document</w:t>
            </w:r>
          </w:p>
        </w:tc>
        <w:tc>
          <w:tcPr>
            <w:tcW w:type="pct" w:w="68%"/>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1 of 5 — Software Requirements Specification</w:t>
            </w:r>
          </w:p>
        </w:tc>
      </w:tr>
      <w:tr>
        <w:tc>
          <w:tcPr>
            <w:tcW w:type="pct" w:w="32%"/>
            <w:tcMar>
              <w:top w:type="dxa" w:w="90"/>
              <w:left w:type="dxa" w:w="110"/>
              <w:bottom w:type="dxa" w:w="90"/>
              <w:right w:type="dxa" w:w="110"/>
            </w:tcMar>
            <w:vAlign w:val="center"/>
          </w:tcPr>
          <w:p>
            <w:pPr>
              <w:spacing w:after="0"/>
              <w:jc w:val="left"/>
            </w:pPr>
            <w:r>
              <w:rPr>
                <w:rFonts w:ascii="Calibri" w:cs="Calibri" w:eastAsia="Calibri" w:hAnsi="Calibri"/>
                <w:b/>
                <w:bCs/>
                <w:i w:val="false"/>
                <w:iCs w:val="false"/>
                <w:color w:val="5B6B7C"/>
                <w:sz w:val="19"/>
                <w:szCs w:val="19"/>
              </w:rPr>
              <w:t xml:space="preserve">Version</w:t>
            </w:r>
          </w:p>
        </w:tc>
        <w:tc>
          <w:tcPr>
            <w:tcW w:type="pct" w:w="68%"/>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1.0</w:t>
            </w:r>
          </w:p>
        </w:tc>
      </w:tr>
      <w:tr>
        <w:tc>
          <w:tcPr>
            <w:tcW w:type="pct" w:w="32%"/>
            <w:tcMar>
              <w:top w:type="dxa" w:w="90"/>
              <w:left w:type="dxa" w:w="110"/>
              <w:bottom w:type="dxa" w:w="90"/>
              <w:right w:type="dxa" w:w="110"/>
            </w:tcMar>
            <w:vAlign w:val="center"/>
          </w:tcPr>
          <w:p>
            <w:pPr>
              <w:spacing w:after="0"/>
              <w:jc w:val="left"/>
            </w:pPr>
            <w:r>
              <w:rPr>
                <w:rFonts w:ascii="Calibri" w:cs="Calibri" w:eastAsia="Calibri" w:hAnsi="Calibri"/>
                <w:b/>
                <w:bCs/>
                <w:i w:val="false"/>
                <w:iCs w:val="false"/>
                <w:color w:val="5B6B7C"/>
                <w:sz w:val="19"/>
                <w:szCs w:val="19"/>
              </w:rPr>
              <w:t xml:space="preserve">Date</w:t>
            </w:r>
          </w:p>
        </w:tc>
        <w:tc>
          <w:tcPr>
            <w:tcW w:type="pct" w:w="68%"/>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26 July 2026</w:t>
            </w:r>
          </w:p>
        </w:tc>
      </w:tr>
      <w:tr>
        <w:tc>
          <w:tcPr>
            <w:tcW w:type="pct" w:w="32%"/>
            <w:tcMar>
              <w:top w:type="dxa" w:w="90"/>
              <w:left w:type="dxa" w:w="110"/>
              <w:bottom w:type="dxa" w:w="90"/>
              <w:right w:type="dxa" w:w="110"/>
            </w:tcMar>
            <w:vAlign w:val="center"/>
          </w:tcPr>
          <w:p>
            <w:pPr>
              <w:spacing w:after="0"/>
              <w:jc w:val="left"/>
            </w:pPr>
            <w:r>
              <w:rPr>
                <w:rFonts w:ascii="Calibri" w:cs="Calibri" w:eastAsia="Calibri" w:hAnsi="Calibri"/>
                <w:b/>
                <w:bCs/>
                <w:i w:val="false"/>
                <w:iCs w:val="false"/>
                <w:color w:val="5B6B7C"/>
                <w:sz w:val="19"/>
                <w:szCs w:val="19"/>
              </w:rPr>
              <w:t xml:space="preserve">Status</w:t>
            </w:r>
          </w:p>
        </w:tc>
        <w:tc>
          <w:tcPr>
            <w:tcW w:type="pct" w:w="68%"/>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Draft for team review</w:t>
            </w:r>
          </w:p>
        </w:tc>
      </w:tr>
      <w:tr>
        <w:tc>
          <w:tcPr>
            <w:tcW w:type="pct" w:w="32%"/>
            <w:tcMar>
              <w:top w:type="dxa" w:w="90"/>
              <w:left w:type="dxa" w:w="110"/>
              <w:bottom w:type="dxa" w:w="90"/>
              <w:right w:type="dxa" w:w="110"/>
            </w:tcMar>
            <w:vAlign w:val="center"/>
          </w:tcPr>
          <w:p>
            <w:pPr>
              <w:spacing w:after="0"/>
              <w:jc w:val="left"/>
            </w:pPr>
            <w:r>
              <w:rPr>
                <w:rFonts w:ascii="Calibri" w:cs="Calibri" w:eastAsia="Calibri" w:hAnsi="Calibri"/>
                <w:b/>
                <w:bCs/>
                <w:i w:val="false"/>
                <w:iCs w:val="false"/>
                <w:color w:val="5B6B7C"/>
                <w:sz w:val="19"/>
                <w:szCs w:val="19"/>
              </w:rPr>
              <w:t xml:space="preserve">Team size</w:t>
            </w:r>
          </w:p>
        </w:tc>
        <w:tc>
          <w:tcPr>
            <w:tcW w:type="pct" w:w="68%"/>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3 (see Role Division document)</w:t>
            </w:r>
          </w:p>
        </w:tc>
      </w:tr>
      <w:tr>
        <w:tc>
          <w:tcPr>
            <w:tcW w:type="pct" w:w="32%"/>
            <w:tcMar>
              <w:top w:type="dxa" w:w="90"/>
              <w:left w:type="dxa" w:w="110"/>
              <w:bottom w:type="dxa" w:w="90"/>
              <w:right w:type="dxa" w:w="110"/>
            </w:tcMar>
            <w:vAlign w:val="center"/>
          </w:tcPr>
          <w:p>
            <w:pPr>
              <w:spacing w:after="0"/>
              <w:jc w:val="left"/>
            </w:pPr>
            <w:r>
              <w:rPr>
                <w:rFonts w:ascii="Calibri" w:cs="Calibri" w:eastAsia="Calibri" w:hAnsi="Calibri"/>
                <w:b/>
                <w:bCs/>
                <w:i w:val="false"/>
                <w:iCs w:val="false"/>
                <w:color w:val="5B6B7C"/>
                <w:sz w:val="19"/>
                <w:szCs w:val="19"/>
              </w:rPr>
              <w:t xml:space="preserve">Companion documents</w:t>
            </w:r>
          </w:p>
        </w:tc>
        <w:tc>
          <w:tcPr>
            <w:tcW w:type="pct" w:w="68%"/>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SDD · Project Workflow · Role Division · Master Document</w:t>
            </w:r>
          </w:p>
        </w:tc>
      </w:tr>
    </w:tbl>
    <w:p>
      <w:r>
        <w:br w:type="page"/>
      </w:r>
    </w:p>
    <w:p>
      <w:pPr>
        <w:pStyle w:val="Heading1"/>
        <w:pBdr>
          <w:bottom w:val="single" w:color="B8892B" w:sz="10" w:space="6"/>
        </w:pBdr>
        <w:spacing w:after="220" w:before="480"/>
      </w:pPr>
      <w:r>
        <w:rPr>
          <w:rFonts w:ascii="Cambria" w:cs="Cambria" w:eastAsia="Cambria" w:hAnsi="Cambria"/>
          <w:b/>
          <w:bCs/>
          <w:color w:val="1B3A5C"/>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spacing w:before="160"/>
      </w:pPr>
      <w:r>
        <w:rPr>
          <w:rFonts w:ascii="Calibri" w:cs="Calibri" w:eastAsia="Calibri" w:hAnsi="Calibri"/>
          <w:i/>
          <w:iCs/>
          <w:color w:val="5B6B7C"/>
          <w:sz w:val="16"/>
          <w:szCs w:val="16"/>
        </w:rPr>
        <w:t xml:space="preserve">(If this outline looks empty, right-click it and choose “Update Field” — Word/LibreOffice recalculate it from the headings automatically.)</w:t>
      </w:r>
    </w:p>
    <w:p>
      <w:r>
        <w:br w:type="page"/>
      </w:r>
    </w:p>
    <w:p>
      <w:pPr>
        <w:pStyle w:val="Heading1"/>
        <w:pBdr>
          <w:bottom w:val="single" w:color="B8892B" w:sz="10" w:space="6"/>
        </w:pBdr>
        <w:spacing w:after="220" w:before="480"/>
      </w:pPr>
      <w:r>
        <w:rPr>
          <w:rFonts w:ascii="Cambria" w:cs="Cambria" w:eastAsia="Cambria" w:hAnsi="Cambria"/>
          <w:b/>
          <w:bCs/>
          <w:color w:val="1B3A5C"/>
          <w:sz w:val="32"/>
          <w:szCs w:val="32"/>
        </w:rPr>
        <w:t xml:space="preserve">1. Introduction</w:t>
      </w:r>
    </w:p>
    <w:p>
      <w:pPr>
        <w:pStyle w:val="Heading2"/>
        <w:spacing w:after="160" w:before="360"/>
      </w:pPr>
      <w:r>
        <w:rPr>
          <w:rFonts w:ascii="Cambria" w:cs="Cambria" w:eastAsia="Cambria" w:hAnsi="Cambria"/>
          <w:b/>
          <w:bCs/>
          <w:color w:val="1B3A5C"/>
          <w:sz w:val="26"/>
          <w:szCs w:val="26"/>
        </w:rPr>
        <w:t xml:space="preserve">1.1 Purpose</w:t>
      </w:r>
    </w:p>
    <w:p>
      <w:pPr>
        <w:spacing w:after="160" w:before="0" w:line="276"/>
        <w:jc w:val="left"/>
      </w:pPr>
      <w:r>
        <w:rPr>
          <w:rFonts w:ascii="Calibri" w:cs="Calibri" w:eastAsia="Calibri" w:hAnsi="Calibri"/>
          <w:color w:val="1F2937"/>
          <w:sz w:val="22"/>
          <w:szCs w:val="22"/>
        </w:rPr>
        <w:t xml:space="preserve">This Software Requirements Specification (SRS) defines the functional and non-functional requirements for DharaAI, an AI-powered legal intelligence platform for Indian law. It is written for three audiences at once: the three-person build team (as the shared contract for what “done” means), technical reviewers or mentors evaluating the project, and, later, prospective collaborators or investors who need a precise account of scope. Every requirement in Section 3 and Section 5 carries a stable ID so it can be traced to a design element in the SDD, a task in the phased workflow, and a test in the evaluation harness.</w:t>
      </w:r>
    </w:p>
    <w:p>
      <w:pPr>
        <w:pStyle w:val="Heading2"/>
        <w:spacing w:after="160" w:before="360"/>
      </w:pPr>
      <w:r>
        <w:rPr>
          <w:rFonts w:ascii="Cambria" w:cs="Cambria" w:eastAsia="Cambria" w:hAnsi="Cambria"/>
          <w:b/>
          <w:bCs/>
          <w:color w:val="1B3A5C"/>
          <w:sz w:val="26"/>
          <w:szCs w:val="26"/>
        </w:rPr>
        <w:t xml:space="preserve">1.2 Scope</w:t>
      </w:r>
    </w:p>
    <w:p>
      <w:pPr>
        <w:spacing w:after="160" w:before="0" w:line="276"/>
        <w:jc w:val="left"/>
      </w:pPr>
      <w:r>
        <w:rPr>
          <w:rFonts w:ascii="Calibri" w:cs="Calibri" w:eastAsia="Calibri" w:hAnsi="Calibri"/>
          <w:color w:val="1F2937"/>
          <w:sz w:val="22"/>
          <w:szCs w:val="22"/>
        </w:rPr>
        <w:t xml:space="preserve">DharaAI ingests official Indian legal source documents, structures them into a version-aware, citation-addressable corpus, and answers natural-language legal questions with citation-grounded, faithfulness-checked responses. The system is built as a platform, not a single chatbot: the same generic document model, ingestion pipeline, and hybrid retrieval engine is designed to extend from the Constitution and the new criminal-law codes (BNS/BNSS/BSA) outward to central Acts, court judgments, state law, and regulatory material without architectural rework.</w:t>
      </w:r>
    </w:p>
    <w:tbl>
      <w:tblPr>
        <w:tblW w:type="pct" w:w="100%"/>
        <w:tblBorders>
          <w:top w:val="single" w:color="F3E4C4" w:sz="4"/>
          <w:left w:val="single" w:color="B8892B" w:sz="36"/>
          <w:bottom w:val="single" w:color="F3E4C4" w:sz="4"/>
          <w:right w:val="single" w:color="F3E4C4" w:sz="4"/>
          <w:insideH w:val="none" w:color="FFFFFF" w:sz="0"/>
          <w:insideV w:val="none" w:color="FFFFFF" w:sz="0"/>
        </w:tblBorders>
      </w:tblPr>
      <w:tblGrid>
        <w:gridCol w:w="100"/>
      </w:tblGrid>
      <w:tr>
        <w:tc>
          <w:tcPr>
            <w:shd w:fill="F3E4C4" w:val="clear"/>
            <w:tcMar>
              <w:top w:type="dxa" w:w="120"/>
              <w:left w:type="dxa" w:w="180"/>
              <w:bottom w:type="dxa" w:w="120"/>
              <w:right w:type="dxa" w:w="180"/>
            </w:tcMar>
          </w:tcPr>
          <w:p>
            <w:pPr>
              <w:spacing w:after="60"/>
            </w:pPr>
            <w:r>
              <w:rPr>
                <w:rFonts w:ascii="Calibri" w:cs="Calibri" w:eastAsia="Calibri" w:hAnsi="Calibri"/>
                <w:b/>
                <w:bCs/>
                <w:color w:val="122840"/>
                <w:sz w:val="19"/>
                <w:szCs w:val="19"/>
              </w:rPr>
              <w:t xml:space="preserve">ASSUMPTION — Working name and MVP framing adopted in this document set</w:t>
            </w:r>
          </w:p>
          <w:p>
            <w:pPr>
              <w:spacing w:after="0"/>
            </w:pPr>
            <w:r>
              <w:rPr>
                <w:rFonts w:ascii="Calibri" w:cs="Calibri" w:eastAsia="Calibri" w:hAnsi="Calibri"/>
                <w:color w:val="1F2937"/>
                <w:sz w:val="19"/>
                <w:szCs w:val="19"/>
              </w:rPr>
              <w:t xml:space="preserve">Working product name: DharaAI (“Dhara” is the Hindi legal term for “Section,” as in “Dhara 302” — chosen over Nyaya-prefixed names because that naming pattern is already in active use by several existing citizen-facing legal-AI apps in India).</w:t>
            </w:r>
          </w:p>
          <w:p>
            <w:pPr>
              <w:spacing w:after="0"/>
            </w:pPr>
            <w:r>
              <w:rPr>
                <w:rFonts w:ascii="Calibri" w:cs="Calibri" w:eastAsia="Calibri" w:hAnsi="Calibri"/>
                <w:color w:val="1F2937"/>
                <w:sz w:val="19"/>
                <w:szCs w:val="19"/>
              </w:rPr>
              <w:t xml:space="preserve">Primary MVP persona: law students and judiciary/bar-exam aspirants, with informed citizens served naturally by the same simplified-explanation UX. Lawyers, businesses, and developers are explicitly deferred to later phases (Section 2.3, Section 5).</w:t>
            </w:r>
          </w:p>
          <w:p>
            <w:pPr>
              <w:spacing w:after="0"/>
            </w:pPr>
            <w:r>
              <w:rPr>
                <w:rFonts w:ascii="Calibri" w:cs="Calibri" w:eastAsia="Calibri" w:hAnsi="Calibri"/>
                <w:color w:val="1F2937"/>
                <w:sz w:val="19"/>
                <w:szCs w:val="19"/>
              </w:rPr>
              <w:t xml:space="preserve">Team of 3 confirmed as real (not hypothetical); role split is detailed in the companion Role Division document.</w:t>
            </w:r>
          </w:p>
          <w:p>
            <w:pPr>
              <w:spacing w:after="0"/>
            </w:pPr>
            <w:r>
              <w:rPr>
                <w:rFonts w:ascii="Calibri" w:cs="Calibri" w:eastAsia="Calibri" w:hAnsi="Calibri"/>
                <w:color w:val="1F2937"/>
                <w:sz w:val="19"/>
                <w:szCs w:val="19"/>
              </w:rPr>
              <w:t xml:space="preserve">Cloud deployment target: Google Cloud Platform, to build on the team's existing GCP/Vertex AI experience rather than introduce a second cloud ecosystem.</w:t>
            </w:r>
          </w:p>
        </w:tc>
      </w:tr>
    </w:tbl>
    <w:p>
      <w:pPr>
        <w:spacing w:after="160"/>
      </w:pPr>
    </w:p>
    <w:p>
      <w:pPr>
        <w:spacing w:after="160" w:before="0" w:line="276"/>
        <w:jc w:val="left"/>
      </w:pPr>
      <w:r>
        <w:rPr>
          <w:rFonts w:ascii="Calibri" w:cs="Calibri" w:eastAsia="Calibri" w:hAnsi="Calibri"/>
          <w:color w:val="1F2937"/>
          <w:sz w:val="22"/>
          <w:szCs w:val="22"/>
        </w:rPr>
        <w:t xml:space="preserve">In scope for the documented roadmap (Phases 0–8, detailed in the Project Workflow document): ingestion and hybrid retrieval over the Constitution, BNS/BNSS/BSA, central Acts, Supreme Court and High Court judgments, one pilot state's laws, select regulators, and a developer API. Out of scope for the foreseeable roadmap: automated filing or submission of legal documents to any court or authority, generation of binding legal opinions, and any workflow that constitutes the practice of law under the Advocates Act, 1961.</w:t>
      </w:r>
    </w:p>
    <w:p>
      <w:pPr>
        <w:pStyle w:val="Heading2"/>
        <w:spacing w:after="160" w:before="360"/>
      </w:pPr>
      <w:r>
        <w:rPr>
          <w:rFonts w:ascii="Cambria" w:cs="Cambria" w:eastAsia="Cambria" w:hAnsi="Cambria"/>
          <w:b/>
          <w:bCs/>
          <w:color w:val="1B3A5C"/>
          <w:sz w:val="26"/>
          <w:szCs w:val="26"/>
        </w:rPr>
        <w:t xml:space="preserve">1.3 Definitions, Acronyms, and Abbreviations</w:t>
      </w:r>
    </w:p>
    <w:tbl>
      <w:tblPr>
        <w:tblW w:type="pct" w:w="100%"/>
        <w:tblBorders>
          <w:top w:val="single" w:color="D7DEE6" w:sz="4"/>
          <w:left w:val="single" w:color="D7DEE6" w:sz="4"/>
          <w:bottom w:val="single" w:color="D7DEE6" w:sz="4"/>
          <w:right w:val="single" w:color="D7DEE6" w:sz="4"/>
          <w:insideH w:val="single" w:color="D7DEE6" w:sz="4"/>
          <w:insideV w:val="single" w:color="D7DEE6" w:sz="4"/>
        </w:tblBorders>
      </w:tblPr>
      <w:tblGrid>
        <w:gridCol w:w="100"/>
        <w:gridCol w:w="100"/>
      </w:tblGrid>
      <w:tr>
        <w:trPr>
          <w:tblHeader/>
        </w:trPr>
        <w:tc>
          <w:tcPr>
            <w:tcW w:type="pct" w:w="22%"/>
            <w:shd w:fill="1B3A5C" w:val="clear"/>
            <w:tcMar>
              <w:top w:type="dxa" w:w="90"/>
              <w:left w:type="dxa" w:w="110"/>
              <w:bottom w:type="dxa" w:w="90"/>
              <w:right w:type="dxa" w:w="110"/>
            </w:tcMar>
            <w:vAlign w:val="center"/>
          </w:tcPr>
          <w:p>
            <w:pPr>
              <w:spacing w:after="0"/>
              <w:jc w:val="left"/>
            </w:pPr>
            <w:r>
              <w:rPr>
                <w:rFonts w:ascii="Calibri" w:cs="Calibri" w:eastAsia="Calibri" w:hAnsi="Calibri"/>
                <w:b/>
                <w:bCs/>
                <w:i w:val="false"/>
                <w:iCs w:val="false"/>
                <w:color w:val="FFFFFF"/>
                <w:sz w:val="19"/>
                <w:szCs w:val="19"/>
              </w:rPr>
              <w:t xml:space="preserve">Term</w:t>
            </w:r>
          </w:p>
        </w:tc>
        <w:tc>
          <w:tcPr>
            <w:tcW w:type="pct" w:w="78%"/>
            <w:shd w:fill="1B3A5C" w:val="clear"/>
            <w:tcMar>
              <w:top w:type="dxa" w:w="90"/>
              <w:left w:type="dxa" w:w="110"/>
              <w:bottom w:type="dxa" w:w="90"/>
              <w:right w:type="dxa" w:w="110"/>
            </w:tcMar>
            <w:vAlign w:val="center"/>
          </w:tcPr>
          <w:p>
            <w:pPr>
              <w:spacing w:after="0"/>
              <w:jc w:val="left"/>
            </w:pPr>
            <w:r>
              <w:rPr>
                <w:rFonts w:ascii="Calibri" w:cs="Calibri" w:eastAsia="Calibri" w:hAnsi="Calibri"/>
                <w:b/>
                <w:bCs/>
                <w:i w:val="false"/>
                <w:iCs w:val="false"/>
                <w:color w:val="FFFFFF"/>
                <w:sz w:val="19"/>
                <w:szCs w:val="19"/>
              </w:rPr>
              <w:t xml:space="preserve">Definition</w:t>
            </w:r>
          </w:p>
        </w:tc>
      </w:tr>
      <w:tr>
        <w:tc>
          <w:tcPr>
            <w:tcW w:type="pct" w:w="22%"/>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RAG</w:t>
            </w:r>
          </w:p>
        </w:tc>
        <w:tc>
          <w:tcPr>
            <w:tcW w:type="pct" w:w="78%"/>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Retrieval-Augmented Generation — an LLM answer grounded in retrieved source passages rather than parametric memory alone.</w:t>
            </w:r>
          </w:p>
        </w:tc>
      </w:tr>
      <w:tr>
        <w:tc>
          <w:tcPr>
            <w:tcW w:type="pct" w:w="22%"/>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Hybrid Retrieval</w:t>
            </w:r>
          </w:p>
        </w:tc>
        <w:tc>
          <w:tcPr>
            <w:tcW w:type="pct" w:w="78%"/>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Combining sparse (keyword/BM25-style) search with dense (embedding) search, merged by rank rather than raw score.</w:t>
            </w:r>
          </w:p>
        </w:tc>
      </w:tr>
      <w:tr>
        <w:tc>
          <w:tcPr>
            <w:tcW w:type="pct" w:w="22%"/>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RRF</w:t>
            </w:r>
          </w:p>
        </w:tc>
        <w:tc>
          <w:tcPr>
            <w:tcW w:type="pct" w:w="78%"/>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Reciprocal Rank Fusion — the merge algorithm used to combine sparse and dense result lists (Section 6 of the SDD).</w:t>
            </w:r>
          </w:p>
        </w:tc>
      </w:tr>
      <w:tr>
        <w:tc>
          <w:tcPr>
            <w:tcW w:type="pct" w:w="22%"/>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BNS / BNSS / BSA</w:t>
            </w:r>
          </w:p>
        </w:tc>
        <w:tc>
          <w:tcPr>
            <w:tcW w:type="pct" w:w="78%"/>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Bharatiya Nyaya Sanhita, Bharatiya Nagarik Suraksha Sanhita, Bharatiya Sakshya Adhiniyam — the three codes that replaced the IPC, CrPC, and Indian Evidence Act respectively, effective 1 July 2024.</w:t>
            </w:r>
          </w:p>
        </w:tc>
      </w:tr>
      <w:tr>
        <w:tc>
          <w:tcPr>
            <w:tcW w:type="pct" w:w="22%"/>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DPDP Act</w:t>
            </w:r>
          </w:p>
        </w:tc>
        <w:tc>
          <w:tcPr>
            <w:tcW w:type="pct" w:w="78%"/>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Digital Personal Data Protection Act, 2023 (India), with Rules notified 13 November 2025 and phased compliance obligations running to May 2027.</w:t>
            </w:r>
          </w:p>
        </w:tc>
      </w:tr>
      <w:tr>
        <w:tc>
          <w:tcPr>
            <w:tcW w:type="pct" w:w="22%"/>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OpenNyAI</w:t>
            </w:r>
          </w:p>
        </w:tc>
        <w:tc>
          <w:tcPr>
            <w:tcW w:type="pct" w:w="78%"/>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An open-source Indian legal-NLP toolkit (NER, rhetorical-role labelling, extractive summarisation) trained specifically on court judgment text; used from Phase 4 (Judicial Layer) onward in this plan.</w:t>
            </w:r>
          </w:p>
        </w:tc>
      </w:tr>
      <w:tr>
        <w:tc>
          <w:tcPr>
            <w:tcW w:type="pct" w:w="22%"/>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BBL</w:t>
            </w:r>
          </w:p>
        </w:tc>
        <w:tc>
          <w:tcPr>
            <w:tcW w:type="pct" w:w="78%"/>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BhashaBench-Legal — a 24,365-question benchmark (English and Hindi) drawn from Indian judicial-service and bar exams, used as a secondary knowledge-accuracy check.</w:t>
            </w:r>
          </w:p>
        </w:tc>
      </w:tr>
      <w:tr>
        <w:tc>
          <w:tcPr>
            <w:tcW w:type="pct" w:w="22%"/>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UPL</w:t>
            </w:r>
          </w:p>
        </w:tc>
        <w:tc>
          <w:tcPr>
            <w:tcW w:type="pct" w:w="78%"/>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Unauthorized Practice of Law — the regulatory line the product must stay behind (see Section 2.7 and NFR-LEGAL requirements).</w:t>
            </w:r>
          </w:p>
        </w:tc>
      </w:tr>
      <w:tr>
        <w:tc>
          <w:tcPr>
            <w:tcW w:type="pct" w:w="22%"/>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Faithfulness</w:t>
            </w:r>
          </w:p>
        </w:tc>
        <w:tc>
          <w:tcPr>
            <w:tcW w:type="pct" w:w="78%"/>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Whether a generated answer's claims are actually supported by the retrieved source chunks it cites, checked by a second-pass verification step.</w:t>
            </w:r>
          </w:p>
        </w:tc>
      </w:tr>
      <w:tr>
        <w:tc>
          <w:tcPr>
            <w:tcW w:type="pct" w:w="22%"/>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Chunk</w:t>
            </w:r>
          </w:p>
        </w:tc>
        <w:tc>
          <w:tcPr>
            <w:tcW w:type="pct" w:w="78%"/>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A retrieval-sized slice of a legal section (≤512 tokens), the atomic unit stored in the vector index.</w:t>
            </w:r>
          </w:p>
        </w:tc>
      </w:tr>
      <w:tr>
        <w:tc>
          <w:tcPr>
            <w:tcW w:type="pct" w:w="22%"/>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MVP</w:t>
            </w:r>
          </w:p>
        </w:tc>
        <w:tc>
          <w:tcPr>
            <w:tcW w:type="pct" w:w="78%"/>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Minimum Viable Product — here, the Phase 1 public release scoped to the Constitution and BNS/BNSS/BSA.</w:t>
            </w:r>
          </w:p>
        </w:tc>
      </w:tr>
    </w:tbl>
    <w:p>
      <w:pPr>
        <w:pStyle w:val="Heading2"/>
        <w:spacing w:after="160" w:before="360"/>
      </w:pPr>
      <w:r>
        <w:rPr>
          <w:rFonts w:ascii="Cambria" w:cs="Cambria" w:eastAsia="Cambria" w:hAnsi="Cambria"/>
          <w:b/>
          <w:bCs/>
          <w:color w:val="1B3A5C"/>
          <w:sz w:val="26"/>
          <w:szCs w:val="26"/>
        </w:rPr>
        <w:t xml:space="preserve">1.4 References</w:t>
      </w:r>
    </w:p>
    <w:p>
      <w:pPr>
        <w:pStyle w:val="ListParagraph"/>
        <w:numPr>
          <w:ilvl w:val="0"/>
          <w:numId w:val="1"/>
        </w:numPr>
        <w:spacing w:after="90" w:line="276"/>
      </w:pPr>
      <w:r>
        <w:rPr>
          <w:rFonts w:ascii="Calibri" w:cs="Calibri" w:eastAsia="Calibri" w:hAnsi="Calibri"/>
          <w:b w:val="false"/>
          <w:bCs w:val="false"/>
          <w:i w:val="false"/>
          <w:iCs w:val="false"/>
          <w:color w:val="1F2937"/>
          <w:sz w:val="22"/>
          <w:szCs w:val="22"/>
        </w:rPr>
        <w:t xml:space="preserve">Source planning conversation: three-model architecture discussion (ChatGPT / Gemini / Claude) that this document set formalizes and corrects.</w:t>
      </w:r>
    </w:p>
    <w:p>
      <w:pPr>
        <w:pStyle w:val="ListParagraph"/>
        <w:numPr>
          <w:ilvl w:val="0"/>
          <w:numId w:val="1"/>
        </w:numPr>
        <w:spacing w:after="90" w:line="276"/>
      </w:pPr>
      <w:r>
        <w:rPr>
          <w:rFonts w:ascii="Calibri" w:cs="Calibri" w:eastAsia="Calibri" w:hAnsi="Calibri"/>
          <w:b w:val="false"/>
          <w:bCs w:val="false"/>
          <w:i w:val="false"/>
          <w:iCs w:val="false"/>
          <w:color w:val="1F2937"/>
          <w:sz w:val="22"/>
          <w:szCs w:val="22"/>
        </w:rPr>
        <w:t xml:space="preserve">The Digital Personal Data Protection Act, 2023 and the DPDP Rules, 2025 (Government of India, Ministry of Electronics and IT).</w:t>
      </w:r>
    </w:p>
    <w:p>
      <w:pPr>
        <w:pStyle w:val="ListParagraph"/>
        <w:numPr>
          <w:ilvl w:val="0"/>
          <w:numId w:val="1"/>
        </w:numPr>
        <w:spacing w:after="90" w:line="276"/>
      </w:pPr>
      <w:r>
        <w:rPr>
          <w:rFonts w:ascii="Calibri" w:cs="Calibri" w:eastAsia="Calibri" w:hAnsi="Calibri"/>
          <w:b w:val="false"/>
          <w:bCs w:val="false"/>
          <w:i w:val="false"/>
          <w:iCs w:val="false"/>
          <w:color w:val="1F2937"/>
          <w:sz w:val="22"/>
          <w:szCs w:val="22"/>
        </w:rPr>
        <w:t xml:space="preserve">The Advocates Act, 1961, Sections 29 and 33 (restriction on practice of law to enrolled advocates).</w:t>
      </w:r>
    </w:p>
    <w:p>
      <w:pPr>
        <w:pStyle w:val="ListParagraph"/>
        <w:numPr>
          <w:ilvl w:val="0"/>
          <w:numId w:val="1"/>
        </w:numPr>
        <w:spacing w:after="90" w:line="276"/>
      </w:pPr>
      <w:r>
        <w:rPr>
          <w:rFonts w:ascii="Calibri" w:cs="Calibri" w:eastAsia="Calibri" w:hAnsi="Calibri"/>
          <w:b w:val="false"/>
          <w:bCs w:val="false"/>
          <w:i w:val="false"/>
          <w:iCs w:val="false"/>
          <w:color w:val="1F2937"/>
          <w:sz w:val="22"/>
          <w:szCs w:val="22"/>
        </w:rPr>
        <w:t xml:space="preserve">Bharatiya Nyaya Sanhita, 2023; Bharatiya Nagarik Suraksha Sanhita, 2023; Bharatiya Sakshya Adhiniyam, 2023 (effective 1 July 2024).</w:t>
      </w:r>
    </w:p>
    <w:p>
      <w:pPr>
        <w:pStyle w:val="ListParagraph"/>
        <w:numPr>
          <w:ilvl w:val="0"/>
          <w:numId w:val="1"/>
        </w:numPr>
        <w:spacing w:after="90" w:line="276"/>
      </w:pPr>
      <w:r>
        <w:rPr>
          <w:rFonts w:ascii="Calibri" w:cs="Calibri" w:eastAsia="Calibri" w:hAnsi="Calibri"/>
          <w:b w:val="false"/>
          <w:bCs w:val="false"/>
          <w:i w:val="false"/>
          <w:iCs w:val="false"/>
          <w:color w:val="1F2937"/>
          <w:sz w:val="22"/>
          <w:szCs w:val="22"/>
        </w:rPr>
        <w:t xml:space="preserve">OpenNyAI project documentation (NER, Rhetorical Roles, Summarization models for Indian judgments).</w:t>
      </w:r>
    </w:p>
    <w:p>
      <w:pPr>
        <w:pStyle w:val="ListParagraph"/>
        <w:numPr>
          <w:ilvl w:val="0"/>
          <w:numId w:val="1"/>
        </w:numPr>
        <w:spacing w:after="90" w:line="276"/>
      </w:pPr>
      <w:r>
        <w:rPr>
          <w:rFonts w:ascii="Calibri" w:cs="Calibri" w:eastAsia="Calibri" w:hAnsi="Calibri"/>
          <w:b w:val="false"/>
          <w:bCs w:val="false"/>
          <w:i w:val="false"/>
          <w:iCs w:val="false"/>
          <w:color w:val="1F2937"/>
          <w:sz w:val="22"/>
          <w:szCs w:val="22"/>
        </w:rPr>
        <w:t xml:space="preserve">BhashaBench-Legal (BharatGen initiative), released 2025.</w:t>
      </w:r>
    </w:p>
    <w:p>
      <w:pPr>
        <w:pStyle w:val="ListParagraph"/>
        <w:numPr>
          <w:ilvl w:val="0"/>
          <w:numId w:val="1"/>
        </w:numPr>
        <w:spacing w:after="90" w:line="276"/>
      </w:pPr>
      <w:r>
        <w:rPr>
          <w:rFonts w:ascii="Calibri" w:cs="Calibri" w:eastAsia="Calibri" w:hAnsi="Calibri"/>
          <w:b w:val="false"/>
          <w:bCs w:val="false"/>
          <w:i w:val="false"/>
          <w:iCs w:val="false"/>
          <w:color w:val="1F2937"/>
          <w:sz w:val="22"/>
          <w:szCs w:val="22"/>
        </w:rPr>
        <w:t xml:space="preserve">ISO/IEC/IEEE 29148:2018 — structural convention this SRS loosely follows.</w:t>
      </w:r>
    </w:p>
    <w:p>
      <w:pPr>
        <w:pStyle w:val="Heading2"/>
        <w:spacing w:after="160" w:before="360"/>
      </w:pPr>
      <w:r>
        <w:rPr>
          <w:rFonts w:ascii="Cambria" w:cs="Cambria" w:eastAsia="Cambria" w:hAnsi="Cambria"/>
          <w:b/>
          <w:bCs/>
          <w:color w:val="1B3A5C"/>
          <w:sz w:val="26"/>
          <w:szCs w:val="26"/>
        </w:rPr>
        <w:t xml:space="preserve">1.5 Document Conventions</w:t>
      </w:r>
    </w:p>
    <w:p>
      <w:pPr>
        <w:spacing w:after="160" w:before="0" w:line="276"/>
        <w:jc w:val="left"/>
      </w:pPr>
      <w:r>
        <w:rPr>
          <w:rFonts w:ascii="Calibri" w:cs="Calibri" w:eastAsia="Calibri" w:hAnsi="Calibri"/>
          <w:color w:val="1F2937"/>
          <w:sz w:val="22"/>
          <w:szCs w:val="22"/>
        </w:rPr>
        <w:t xml:space="preserve">Requirements are numbered by module, e.g. FR-RET-003 is the third functional requirement under Retrieval. Priority follows MoSCoW: MUST (MVP-blocking), SHOULD (strongly desired, can slip one phase), COULD (nice to have, opportunistic), WON'T (explicitly deferred, listed to prevent scope creep by omission). Non-functional requirements use NFR-&lt;category&gt;-xxx. A requirement's phase (Section 6 cross-reference) indicates when it must be true in production, not when work on it starts.</w:t>
      </w:r>
    </w:p>
    <w:p>
      <w:pPr>
        <w:pStyle w:val="Heading1"/>
        <w:pBdr>
          <w:bottom w:val="single" w:color="B8892B" w:sz="10" w:space="6"/>
        </w:pBdr>
        <w:spacing w:after="220" w:before="480"/>
      </w:pPr>
      <w:r>
        <w:rPr>
          <w:rFonts w:ascii="Cambria" w:cs="Cambria" w:eastAsia="Cambria" w:hAnsi="Cambria"/>
          <w:b/>
          <w:bCs/>
          <w:color w:val="1B3A5C"/>
          <w:sz w:val="32"/>
          <w:szCs w:val="32"/>
        </w:rPr>
        <w:t xml:space="preserve">2. Overall Description</w:t>
      </w:r>
    </w:p>
    <w:p>
      <w:pPr>
        <w:pStyle w:val="Heading2"/>
        <w:spacing w:after="160" w:before="360"/>
      </w:pPr>
      <w:r>
        <w:rPr>
          <w:rFonts w:ascii="Cambria" w:cs="Cambria" w:eastAsia="Cambria" w:hAnsi="Cambria"/>
          <w:b/>
          <w:bCs/>
          <w:color w:val="1B3A5C"/>
          <w:sz w:val="26"/>
          <w:szCs w:val="26"/>
        </w:rPr>
        <w:t xml:space="preserve">2.1 Product Perspective</w:t>
      </w:r>
    </w:p>
    <w:p>
      <w:pPr>
        <w:spacing w:after="160" w:before="0" w:line="276"/>
        <w:jc w:val="left"/>
      </w:pPr>
      <w:r>
        <w:rPr>
          <w:rFonts w:ascii="Calibri" w:cs="Calibri" w:eastAsia="Calibri" w:hAnsi="Calibri"/>
          <w:color w:val="1F2937"/>
          <w:sz w:val="22"/>
          <w:szCs w:val="22"/>
        </w:rPr>
        <w:t xml:space="preserve">DharaAI is a new product entering a market that already has three distinct tiers of incumbent: (1) editorial legal databases — Indian Kanoon, SCC Online, Manupatra, the Supreme Court's own e-SCR portal — which are comprehensive but built around keyword search and human-curated headnotes rather than grounded natural-language answers; (2) a growing wave of citizen-facing “know your rights” AI chatbots (Nyaaya, Nyaya Setu, NyayaSathi, Nyaay AI, and similar), which target the same conversational-AI niche but, from available public information, do not publish retrieval-quality metrics, evaluation methodology, or an extensible architecture; and (3) global legal-AI platforms such as Harvey AI, built for BigLaw practice rather than the Indian statutory/citizen/student context. DharaAI's differentiation is architectural rigor applied to an underserved segment: hybrid retrieval with measured precision/recall, faithfulness-checked citations down to the exact section, explicit handling of the IPC→BNS legal transition, and a generic data model that treats “add a new law” as a data-ingestion task rather than a code change. Full competitive analysis is in the Master Document, Section 2.</w:t>
      </w:r>
    </w:p>
    <w:p>
      <w:pPr>
        <w:pStyle w:val="Heading2"/>
        <w:spacing w:after="160" w:before="360"/>
      </w:pPr>
      <w:r>
        <w:rPr>
          <w:rFonts w:ascii="Cambria" w:cs="Cambria" w:eastAsia="Cambria" w:hAnsi="Cambria"/>
          <w:b/>
          <w:bCs/>
          <w:color w:val="1B3A5C"/>
          <w:sz w:val="26"/>
          <w:szCs w:val="26"/>
        </w:rPr>
        <w:t xml:space="preserve">2.2 Product Functions (Summary)</w:t>
      </w:r>
    </w:p>
    <w:p>
      <w:pPr>
        <w:pStyle w:val="ListParagraph"/>
        <w:numPr>
          <w:ilvl w:val="0"/>
          <w:numId w:val="1"/>
        </w:numPr>
        <w:spacing w:after="90" w:line="276"/>
      </w:pPr>
      <w:r>
        <w:rPr>
          <w:rFonts w:ascii="Calibri" w:cs="Calibri" w:eastAsia="Calibri" w:hAnsi="Calibri"/>
          <w:b w:val="false"/>
          <w:bCs w:val="false"/>
          <w:i w:val="false"/>
          <w:iCs w:val="false"/>
          <w:color w:val="1F2937"/>
          <w:sz w:val="22"/>
          <w:szCs w:val="22"/>
        </w:rPr>
        <w:t xml:space="preserve">Ingest official legal source documents (statutes, and from Phase 4 onward, judgments) into a structured, versioned, metadata-rich corpus.</w:t>
      </w:r>
    </w:p>
    <w:p>
      <w:pPr>
        <w:pStyle w:val="ListParagraph"/>
        <w:numPr>
          <w:ilvl w:val="0"/>
          <w:numId w:val="1"/>
        </w:numPr>
        <w:spacing w:after="90" w:line="276"/>
      </w:pPr>
      <w:r>
        <w:rPr>
          <w:rFonts w:ascii="Calibri" w:cs="Calibri" w:eastAsia="Calibri" w:hAnsi="Calibri"/>
          <w:b w:val="false"/>
          <w:bCs w:val="false"/>
          <w:i w:val="false"/>
          <w:iCs w:val="false"/>
          <w:color w:val="1F2937"/>
          <w:sz w:val="22"/>
          <w:szCs w:val="22"/>
        </w:rPr>
        <w:t xml:space="preserve">Answer natural-language legal questions with a grounded response, inline citations down to section/clause level, and a faithfulness check before the answer is returned.</w:t>
      </w:r>
    </w:p>
    <w:p>
      <w:pPr>
        <w:pStyle w:val="ListParagraph"/>
        <w:numPr>
          <w:ilvl w:val="0"/>
          <w:numId w:val="1"/>
        </w:numPr>
        <w:spacing w:after="90" w:line="276"/>
      </w:pPr>
      <w:r>
        <w:rPr>
          <w:rFonts w:ascii="Calibri" w:cs="Calibri" w:eastAsia="Calibri" w:hAnsi="Calibri"/>
          <w:b w:val="false"/>
          <w:bCs w:val="false"/>
          <w:i w:val="false"/>
          <w:iCs w:val="false"/>
          <w:color w:val="1F2937"/>
          <w:sz w:val="22"/>
          <w:szCs w:val="22"/>
        </w:rPr>
        <w:t xml:space="preserve">Resolve cross-references between sections (e.g. “as defined in Section 2(l)”) so retrieval doesn't return a clause in isolation.</w:t>
      </w:r>
    </w:p>
    <w:p>
      <w:pPr>
        <w:pStyle w:val="ListParagraph"/>
        <w:numPr>
          <w:ilvl w:val="0"/>
          <w:numId w:val="1"/>
        </w:numPr>
        <w:spacing w:after="90" w:line="276"/>
      </w:pPr>
      <w:r>
        <w:rPr>
          <w:rFonts w:ascii="Calibri" w:cs="Calibri" w:eastAsia="Calibri" w:hAnsi="Calibri"/>
          <w:b w:val="false"/>
          <w:bCs w:val="false"/>
          <w:i w:val="false"/>
          <w:iCs w:val="false"/>
          <w:color w:val="1F2937"/>
          <w:sz w:val="22"/>
          <w:szCs w:val="22"/>
        </w:rPr>
        <w:t xml:space="preserve">Resolve legal versioning: apply a default “latest law” policy, support an as-of-date query mode, and explicitly map repealed provisions to their replacements (flagship case: IPC → BNS).</w:t>
      </w:r>
    </w:p>
    <w:p>
      <w:pPr>
        <w:pStyle w:val="ListParagraph"/>
        <w:numPr>
          <w:ilvl w:val="0"/>
          <w:numId w:val="1"/>
        </w:numPr>
        <w:spacing w:after="90" w:line="276"/>
      </w:pPr>
      <w:r>
        <w:rPr>
          <w:rFonts w:ascii="Calibri" w:cs="Calibri" w:eastAsia="Calibri" w:hAnsi="Calibri"/>
          <w:b w:val="false"/>
          <w:bCs w:val="false"/>
          <w:i w:val="false"/>
          <w:iCs w:val="false"/>
          <w:color w:val="1F2937"/>
          <w:sz w:val="22"/>
          <w:szCs w:val="22"/>
        </w:rPr>
        <w:t xml:space="preserve">Provide a citation viewer showing the exact source text, document metadata, and a link back to the official source.</w:t>
      </w:r>
    </w:p>
    <w:p>
      <w:pPr>
        <w:pStyle w:val="ListParagraph"/>
        <w:numPr>
          <w:ilvl w:val="0"/>
          <w:numId w:val="1"/>
        </w:numPr>
        <w:spacing w:after="90" w:line="276"/>
      </w:pPr>
      <w:r>
        <w:rPr>
          <w:rFonts w:ascii="Calibri" w:cs="Calibri" w:eastAsia="Calibri" w:hAnsi="Calibri"/>
          <w:b w:val="false"/>
          <w:bCs w:val="false"/>
          <w:i w:val="false"/>
          <w:iCs w:val="false"/>
          <w:color w:val="1F2937"/>
          <w:sz w:val="22"/>
          <w:szCs w:val="22"/>
        </w:rPr>
        <w:t xml:space="preserve">From Phase 3 onward, onboard an entirely new Act or regulation without any code change — ingestion-pipeline configuration only.</w:t>
      </w:r>
    </w:p>
    <w:p>
      <w:pPr>
        <w:pStyle w:val="ListParagraph"/>
        <w:numPr>
          <w:ilvl w:val="0"/>
          <w:numId w:val="1"/>
        </w:numPr>
        <w:spacing w:after="90" w:line="276"/>
      </w:pPr>
      <w:r>
        <w:rPr>
          <w:rFonts w:ascii="Calibri" w:cs="Calibri" w:eastAsia="Calibri" w:hAnsi="Calibri"/>
          <w:b w:val="false"/>
          <w:bCs w:val="false"/>
          <w:i w:val="false"/>
          <w:iCs w:val="false"/>
          <w:color w:val="1F2937"/>
          <w:sz w:val="22"/>
          <w:szCs w:val="22"/>
        </w:rPr>
        <w:t xml:space="preserve">From Phase 6 onward, expose the same retrieval engine through a rate-limited, API-key-authenticated developer API.</w:t>
      </w:r>
    </w:p>
    <w:p>
      <w:pPr>
        <w:pStyle w:val="Heading2"/>
        <w:spacing w:after="160" w:before="360"/>
      </w:pPr>
      <w:r>
        <w:rPr>
          <w:rFonts w:ascii="Cambria" w:cs="Cambria" w:eastAsia="Cambria" w:hAnsi="Cambria"/>
          <w:b/>
          <w:bCs/>
          <w:color w:val="1B3A5C"/>
          <w:sz w:val="26"/>
          <w:szCs w:val="26"/>
        </w:rPr>
        <w:t xml:space="preserve">2.3 User Classes and Characteristics</w:t>
      </w:r>
    </w:p>
    <w:tbl>
      <w:tblPr>
        <w:tblW w:type="pct" w:w="100%"/>
        <w:tblBorders>
          <w:top w:val="single" w:color="D7DEE6" w:sz="4"/>
          <w:left w:val="single" w:color="D7DEE6" w:sz="4"/>
          <w:bottom w:val="single" w:color="D7DEE6" w:sz="4"/>
          <w:right w:val="single" w:color="D7DEE6" w:sz="4"/>
          <w:insideH w:val="single" w:color="D7DEE6" w:sz="4"/>
          <w:insideV w:val="single" w:color="D7DEE6" w:sz="4"/>
        </w:tblBorders>
      </w:tblPr>
      <w:tblGrid>
        <w:gridCol w:w="100"/>
        <w:gridCol w:w="100"/>
        <w:gridCol w:w="100"/>
      </w:tblGrid>
      <w:tr>
        <w:trPr>
          <w:tblHeader/>
        </w:trPr>
        <w:tc>
          <w:tcPr>
            <w:tcW w:type="pct" w:w="30%"/>
            <w:shd w:fill="1B3A5C" w:val="clear"/>
            <w:tcMar>
              <w:top w:type="dxa" w:w="90"/>
              <w:left w:type="dxa" w:w="110"/>
              <w:bottom w:type="dxa" w:w="90"/>
              <w:right w:type="dxa" w:w="110"/>
            </w:tcMar>
            <w:vAlign w:val="center"/>
          </w:tcPr>
          <w:p>
            <w:pPr>
              <w:spacing w:after="0"/>
              <w:jc w:val="left"/>
            </w:pPr>
            <w:r>
              <w:rPr>
                <w:rFonts w:ascii="Calibri" w:cs="Calibri" w:eastAsia="Calibri" w:hAnsi="Calibri"/>
                <w:b/>
                <w:bCs/>
                <w:i w:val="false"/>
                <w:iCs w:val="false"/>
                <w:color w:val="FFFFFF"/>
                <w:sz w:val="19"/>
                <w:szCs w:val="19"/>
              </w:rPr>
              <w:t xml:space="preserve">User Class</w:t>
            </w:r>
          </w:p>
        </w:tc>
        <w:tc>
          <w:tcPr>
            <w:tcW w:type="pct" w:w="50%"/>
            <w:shd w:fill="1B3A5C" w:val="clear"/>
            <w:tcMar>
              <w:top w:type="dxa" w:w="90"/>
              <w:left w:type="dxa" w:w="110"/>
              <w:bottom w:type="dxa" w:w="90"/>
              <w:right w:type="dxa" w:w="110"/>
            </w:tcMar>
            <w:vAlign w:val="center"/>
          </w:tcPr>
          <w:p>
            <w:pPr>
              <w:spacing w:after="0"/>
              <w:jc w:val="left"/>
            </w:pPr>
            <w:r>
              <w:rPr>
                <w:rFonts w:ascii="Calibri" w:cs="Calibri" w:eastAsia="Calibri" w:hAnsi="Calibri"/>
                <w:b/>
                <w:bCs/>
                <w:i w:val="false"/>
                <w:iCs w:val="false"/>
                <w:color w:val="FFFFFF"/>
                <w:sz w:val="19"/>
                <w:szCs w:val="19"/>
              </w:rPr>
              <w:t xml:space="preserve">Description</w:t>
            </w:r>
          </w:p>
        </w:tc>
        <w:tc>
          <w:tcPr>
            <w:tcW w:type="pct" w:w="20%"/>
            <w:shd w:fill="1B3A5C" w:val="clear"/>
            <w:tcMar>
              <w:top w:type="dxa" w:w="90"/>
              <w:left w:type="dxa" w:w="110"/>
              <w:bottom w:type="dxa" w:w="90"/>
              <w:right w:type="dxa" w:w="110"/>
            </w:tcMar>
            <w:vAlign w:val="center"/>
          </w:tcPr>
          <w:p>
            <w:pPr>
              <w:spacing w:after="0"/>
              <w:jc w:val="left"/>
            </w:pPr>
            <w:r>
              <w:rPr>
                <w:rFonts w:ascii="Calibri" w:cs="Calibri" w:eastAsia="Calibri" w:hAnsi="Calibri"/>
                <w:b/>
                <w:bCs/>
                <w:i w:val="false"/>
                <w:iCs w:val="false"/>
                <w:color w:val="FFFFFF"/>
                <w:sz w:val="19"/>
                <w:szCs w:val="19"/>
              </w:rPr>
              <w:t xml:space="preserve">Priority in Roadmap</w:t>
            </w:r>
          </w:p>
        </w:tc>
      </w:tr>
      <w:tr>
        <w:tc>
          <w:tcPr>
            <w:tcW w:type="pct" w:w="30%"/>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Law students &amp; judiciary/bar-exam aspirants</w:t>
            </w:r>
          </w:p>
        </w:tc>
        <w:tc>
          <w:tcPr>
            <w:tcW w:type="pct" w:w="50%"/>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Primary MVP persona. Wants precise, citation-backed answers and can be objectively evaluated via BhashaBench-Legal-style questions.</w:t>
            </w:r>
          </w:p>
        </w:tc>
        <w:tc>
          <w:tcPr>
            <w:tcW w:type="pct" w:w="20%"/>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Phase 1 (MVP)</w:t>
            </w:r>
          </w:p>
        </w:tc>
      </w:tr>
      <w:tr>
        <w:tc>
          <w:tcPr>
            <w:tcW w:type="pct" w:w="30%"/>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Informed citizens</w:t>
            </w:r>
          </w:p>
        </w:tc>
        <w:tc>
          <w:tcPr>
            <w:tcW w:type="pct" w:w="50%"/>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Naturally served by the same simplified-explanation, citation-first UX; not separately designed for at MVP.</w:t>
            </w:r>
          </w:p>
        </w:tc>
        <w:tc>
          <w:tcPr>
            <w:tcW w:type="pct" w:w="20%"/>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Phase 1 (secondary)</w:t>
            </w:r>
          </w:p>
        </w:tc>
      </w:tr>
      <w:tr>
        <w:tc>
          <w:tcPr>
            <w:tcW w:type="pct" w:w="30%"/>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Lawyers &amp; researchers</w:t>
            </w:r>
          </w:p>
        </w:tc>
        <w:tc>
          <w:tcPr>
            <w:tcW w:type="pct" w:w="50%"/>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Needs case-law depth, advanced filters, and higher trust bar; served once the Judicial Layer (Phase 4) exists.</w:t>
            </w:r>
          </w:p>
        </w:tc>
        <w:tc>
          <w:tcPr>
            <w:tcW w:type="pct" w:w="20%"/>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Phase 4+</w:t>
            </w:r>
          </w:p>
        </w:tc>
      </w:tr>
      <w:tr>
        <w:tc>
          <w:tcPr>
            <w:tcW w:type="pct" w:w="30%"/>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Government officers / businesses</w:t>
            </w:r>
          </w:p>
        </w:tc>
        <w:tc>
          <w:tcPr>
            <w:tcW w:type="pct" w:w="50%"/>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Needs regulatory and administrative-layer content (RBI, SEBI, GST, local rules).</w:t>
            </w:r>
          </w:p>
        </w:tc>
        <w:tc>
          <w:tcPr>
            <w:tcW w:type="pct" w:w="20%"/>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Phase 5–6</w:t>
            </w:r>
          </w:p>
        </w:tc>
      </w:tr>
      <w:tr>
        <w:tc>
          <w:tcPr>
            <w:tcW w:type="pct" w:w="30%"/>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Developers / partner platforms</w:t>
            </w:r>
          </w:p>
        </w:tc>
        <w:tc>
          <w:tcPr>
            <w:tcW w:type="pct" w:w="50%"/>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Consumes the retrieval engine via API for compliance, fintech, or govtech integrations.</w:t>
            </w:r>
          </w:p>
        </w:tc>
        <w:tc>
          <w:tcPr>
            <w:tcW w:type="pct" w:w="20%"/>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Phase 6+</w:t>
            </w:r>
          </w:p>
        </w:tc>
      </w:tr>
    </w:tbl>
    <w:tbl>
      <w:tblPr>
        <w:tblW w:type="pct" w:w="100%"/>
        <w:tblBorders>
          <w:top w:val="single" w:color="E7ECF1" w:sz="4"/>
          <w:left w:val="single" w:color="1B3A5C" w:sz="36"/>
          <w:bottom w:val="single" w:color="E7ECF1" w:sz="4"/>
          <w:right w:val="single" w:color="E7ECF1" w:sz="4"/>
          <w:insideH w:val="none" w:color="FFFFFF" w:sz="0"/>
          <w:insideV w:val="none" w:color="FFFFFF" w:sz="0"/>
        </w:tblBorders>
      </w:tblPr>
      <w:tblGrid>
        <w:gridCol w:w="100"/>
      </w:tblGrid>
      <w:tr>
        <w:tc>
          <w:tcPr>
            <w:shd w:fill="E7ECF1" w:val="clear"/>
            <w:tcMar>
              <w:top w:type="dxa" w:w="120"/>
              <w:left w:type="dxa" w:w="180"/>
              <w:bottom w:type="dxa" w:w="120"/>
              <w:right w:type="dxa" w:w="180"/>
            </w:tcMar>
          </w:tcPr>
          <w:p>
            <w:pPr>
              <w:spacing w:after="60"/>
            </w:pPr>
            <w:r>
              <w:rPr>
                <w:rFonts w:ascii="Calibri" w:cs="Calibri" w:eastAsia="Calibri" w:hAnsi="Calibri"/>
                <w:b/>
                <w:bCs/>
                <w:color w:val="122840"/>
                <w:sz w:val="19"/>
                <w:szCs w:val="19"/>
              </w:rPr>
              <w:t xml:space="preserve">DESIGN DECISION — Why not “every type of user” from day one</w:t>
            </w:r>
          </w:p>
          <w:p>
            <w:pPr>
              <w:spacing w:after="0"/>
            </w:pPr>
            <w:r>
              <w:rPr>
                <w:rFonts w:ascii="Calibri" w:cs="Calibri" w:eastAsia="Calibri" w:hAnsi="Calibri"/>
                <w:color w:val="1F2937"/>
                <w:sz w:val="19"/>
                <w:szCs w:val="19"/>
              </w:rPr>
              <w:t xml:space="preserve">Designing the MVP prompt tone, disclaimers, and UX for every persona simultaneously dilutes all of them. The retrieval engine stays general-purpose underneath; only the MVP-facing prompt tone, UX copy, and evaluation set are persona-scoped. This directly resolves the scope ambiguity flagged during initial planning.</w:t>
            </w:r>
          </w:p>
        </w:tc>
      </w:tr>
    </w:tbl>
    <w:p>
      <w:pPr>
        <w:spacing w:after="160"/>
      </w:pPr>
    </w:p>
    <w:p>
      <w:pPr>
        <w:pStyle w:val="Heading2"/>
        <w:spacing w:after="160" w:before="360"/>
      </w:pPr>
      <w:r>
        <w:rPr>
          <w:rFonts w:ascii="Cambria" w:cs="Cambria" w:eastAsia="Cambria" w:hAnsi="Cambria"/>
          <w:b/>
          <w:bCs/>
          <w:color w:val="1B3A5C"/>
          <w:sz w:val="26"/>
          <w:szCs w:val="26"/>
        </w:rPr>
        <w:t xml:space="preserve">2.4 Operating Environment</w:t>
      </w:r>
    </w:p>
    <w:p>
      <w:pPr>
        <w:pStyle w:val="ListParagraph"/>
        <w:numPr>
          <w:ilvl w:val="0"/>
          <w:numId w:val="1"/>
        </w:numPr>
        <w:spacing w:after="90" w:line="276"/>
      </w:pPr>
      <w:r>
        <w:rPr>
          <w:rFonts w:ascii="Calibri" w:cs="Calibri" w:eastAsia="Calibri" w:hAnsi="Calibri"/>
          <w:b w:val="false"/>
          <w:bCs w:val="false"/>
          <w:i w:val="false"/>
          <w:iCs w:val="false"/>
          <w:color w:val="1F2937"/>
          <w:sz w:val="22"/>
          <w:szCs w:val="22"/>
        </w:rPr>
        <w:t xml:space="preserve">Client: responsive web application (desktop and mobile browsers), Next.js/React, no installation required.</w:t>
      </w:r>
    </w:p>
    <w:p>
      <w:pPr>
        <w:pStyle w:val="ListParagraph"/>
        <w:numPr>
          <w:ilvl w:val="0"/>
          <w:numId w:val="1"/>
        </w:numPr>
        <w:spacing w:after="90" w:line="276"/>
      </w:pPr>
      <w:r>
        <w:rPr>
          <w:rFonts w:ascii="Calibri" w:cs="Calibri" w:eastAsia="Calibri" w:hAnsi="Calibri"/>
          <w:b w:val="false"/>
          <w:bCs w:val="false"/>
          <w:i w:val="false"/>
          <w:iCs w:val="false"/>
          <w:color w:val="1F2937"/>
          <w:sz w:val="22"/>
          <w:szCs w:val="22"/>
        </w:rPr>
        <w:t xml:space="preserve">Server: containerized services on Google Cloud Platform (Cloud Run primarily; GKE introduced only if/when Phase 4+ load justifies it — see SDD ADR-005).</w:t>
      </w:r>
    </w:p>
    <w:p>
      <w:pPr>
        <w:pStyle w:val="ListParagraph"/>
        <w:numPr>
          <w:ilvl w:val="0"/>
          <w:numId w:val="1"/>
        </w:numPr>
        <w:spacing w:after="90" w:line="276"/>
      </w:pPr>
      <w:r>
        <w:rPr>
          <w:rFonts w:ascii="Calibri" w:cs="Calibri" w:eastAsia="Calibri" w:hAnsi="Calibri"/>
          <w:b w:val="false"/>
          <w:bCs w:val="false"/>
          <w:i w:val="false"/>
          <w:iCs w:val="false"/>
          <w:color w:val="1F2937"/>
          <w:sz w:val="22"/>
          <w:szCs w:val="22"/>
        </w:rPr>
        <w:t xml:space="preserve">Development machine: a single GPU-equipped laptop class device (6 GB-class VRAM, 16 GB system RAM) runs embedding generation and reranking locally; LLM generation is offloaded to Vertex AI so the local box never needs to host a full LLM.</w:t>
      </w:r>
    </w:p>
    <w:p>
      <w:pPr>
        <w:pStyle w:val="ListParagraph"/>
        <w:numPr>
          <w:ilvl w:val="0"/>
          <w:numId w:val="1"/>
        </w:numPr>
        <w:spacing w:after="90" w:line="276"/>
      </w:pPr>
      <w:r>
        <w:rPr>
          <w:rFonts w:ascii="Calibri" w:cs="Calibri" w:eastAsia="Calibri" w:hAnsi="Calibri"/>
          <w:b w:val="false"/>
          <w:bCs w:val="false"/>
          <w:i w:val="false"/>
          <w:iCs w:val="false"/>
          <w:color w:val="1F2937"/>
          <w:sz w:val="22"/>
          <w:szCs w:val="22"/>
        </w:rPr>
        <w:t xml:space="preserve">Future (Phase 7+): native mobile client; developer API consumers integrate over HTTPS/REST.</w:t>
      </w:r>
    </w:p>
    <w:p>
      <w:pPr>
        <w:pStyle w:val="Heading2"/>
        <w:spacing w:after="160" w:before="360"/>
      </w:pPr>
      <w:r>
        <w:rPr>
          <w:rFonts w:ascii="Cambria" w:cs="Cambria" w:eastAsia="Cambria" w:hAnsi="Cambria"/>
          <w:b/>
          <w:bCs/>
          <w:color w:val="1B3A5C"/>
          <w:sz w:val="26"/>
          <w:szCs w:val="26"/>
        </w:rPr>
        <w:t xml:space="preserve">2.5 Design and Implementation Constraints</w:t>
      </w:r>
    </w:p>
    <w:tbl>
      <w:tblPr>
        <w:tblW w:type="pct" w:w="100%"/>
        <w:tblBorders>
          <w:top w:val="single" w:color="D7DEE6" w:sz="4"/>
          <w:left w:val="single" w:color="D7DEE6" w:sz="4"/>
          <w:bottom w:val="single" w:color="D7DEE6" w:sz="4"/>
          <w:right w:val="single" w:color="D7DEE6" w:sz="4"/>
          <w:insideH w:val="single" w:color="D7DEE6" w:sz="4"/>
          <w:insideV w:val="single" w:color="D7DEE6" w:sz="4"/>
        </w:tblBorders>
      </w:tblPr>
      <w:tblGrid>
        <w:gridCol w:w="100"/>
        <w:gridCol w:w="100"/>
      </w:tblGrid>
      <w:tr>
        <w:trPr>
          <w:tblHeader/>
        </w:trPr>
        <w:tc>
          <w:tcPr>
            <w:tcW w:type="pct" w:w="40%"/>
            <w:shd w:fill="1B3A5C" w:val="clear"/>
            <w:tcMar>
              <w:top w:type="dxa" w:w="90"/>
              <w:left w:type="dxa" w:w="110"/>
              <w:bottom w:type="dxa" w:w="90"/>
              <w:right w:type="dxa" w:w="110"/>
            </w:tcMar>
            <w:vAlign w:val="center"/>
          </w:tcPr>
          <w:p>
            <w:pPr>
              <w:spacing w:after="0"/>
              <w:jc w:val="left"/>
            </w:pPr>
            <w:r>
              <w:rPr>
                <w:rFonts w:ascii="Calibri" w:cs="Calibri" w:eastAsia="Calibri" w:hAnsi="Calibri"/>
                <w:b/>
                <w:bCs/>
                <w:i w:val="false"/>
                <w:iCs w:val="false"/>
                <w:color w:val="FFFFFF"/>
                <w:sz w:val="19"/>
                <w:szCs w:val="19"/>
              </w:rPr>
              <w:t xml:space="preserve">Constraint</w:t>
            </w:r>
          </w:p>
        </w:tc>
        <w:tc>
          <w:tcPr>
            <w:tcW w:type="pct" w:w="60%"/>
            <w:shd w:fill="1B3A5C" w:val="clear"/>
            <w:tcMar>
              <w:top w:type="dxa" w:w="90"/>
              <w:left w:type="dxa" w:w="110"/>
              <w:bottom w:type="dxa" w:w="90"/>
              <w:right w:type="dxa" w:w="110"/>
            </w:tcMar>
            <w:vAlign w:val="center"/>
          </w:tcPr>
          <w:p>
            <w:pPr>
              <w:spacing w:after="0"/>
              <w:jc w:val="left"/>
            </w:pPr>
            <w:r>
              <w:rPr>
                <w:rFonts w:ascii="Calibri" w:cs="Calibri" w:eastAsia="Calibri" w:hAnsi="Calibri"/>
                <w:b/>
                <w:bCs/>
                <w:i w:val="false"/>
                <w:iCs w:val="false"/>
                <w:color w:val="FFFFFF"/>
                <w:sz w:val="19"/>
                <w:szCs w:val="19"/>
              </w:rPr>
              <w:t xml:space="preserve">Implication</w:t>
            </w:r>
          </w:p>
        </w:tc>
      </w:tr>
      <w:tr>
        <w:tc>
          <w:tcPr>
            <w:tcW w:type="pct" w:w="40%"/>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Every answer must be grounded and cited — no un-sourced generation.</w:t>
            </w:r>
          </w:p>
        </w:tc>
        <w:tc>
          <w:tcPr>
            <w:tcW w:type="pct" w:w="60%"/>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Generation step cannot run without a populated context window from retrieval; a “no confident source found” response is a required fallback path (FR-GEN-005).</w:t>
            </w:r>
          </w:p>
        </w:tc>
      </w:tr>
      <w:tr>
        <w:tc>
          <w:tcPr>
            <w:tcW w:type="pct" w:w="40%"/>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Must not constitute unauthorized practice of law.</w:t>
            </w:r>
          </w:p>
        </w:tc>
        <w:tc>
          <w:tcPr>
            <w:tcW w:type="pct" w:w="60%"/>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High-stakes query categories require a disclaimer-and-refuse or disclaimer-and-caveat path, not a direct answer (FR-SEC-004, Section 2.7).</w:t>
            </w:r>
          </w:p>
        </w:tc>
      </w:tr>
      <w:tr>
        <w:tc>
          <w:tcPr>
            <w:tcW w:type="pct" w:w="40%"/>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Must comply with the DPDP Act, 2023 and its 2025 Rules.</w:t>
            </w:r>
          </w:p>
        </w:tc>
        <w:tc>
          <w:tcPr>
            <w:tcW w:type="pct" w:w="60%"/>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Personal data appearing inside judgments must be handled under a defined redaction/exclusion policy before ingestion (FR-ING-006).</w:t>
            </w:r>
          </w:p>
        </w:tc>
      </w:tr>
      <w:tr>
        <w:tc>
          <w:tcPr>
            <w:tcW w:type="pct" w:w="40%"/>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Local development hardware is GPU/VRAM-constrained.</w:t>
            </w:r>
          </w:p>
        </w:tc>
        <w:tc>
          <w:tcPr>
            <w:tcW w:type="pct" w:w="60%"/>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Embedding and reranking models must run inside a 6 GB-class VRAM budget; LLM generation must not be self-hosted locally (SDD ADR-003, ADR-004).</w:t>
            </w:r>
          </w:p>
        </w:tc>
      </w:tr>
      <w:tr>
        <w:tc>
          <w:tcPr>
            <w:tcW w:type="pct" w:w="40%"/>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Three-person team, part-time-realistic pace.</w:t>
            </w:r>
          </w:p>
        </w:tc>
        <w:tc>
          <w:tcPr>
            <w:tcW w:type="pct" w:w="60%"/>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Tech stack must not require operating more services than the team can realistically run; see NFR-MAINT requirements and SDD ADR-005/ADR-006 (deferred Elasticsearch, deferred Celery/Redis).</w:t>
            </w:r>
          </w:p>
        </w:tc>
      </w:tr>
      <w:tr>
        <w:tc>
          <w:tcPr>
            <w:tcW w:type="pct" w:w="40%"/>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Pure vector search is insufficient for legal text.</w:t>
            </w:r>
          </w:p>
        </w:tc>
        <w:tc>
          <w:tcPr>
            <w:tcW w:type="pct" w:w="60%"/>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Statutory text is addressed by exact identifiers (“Section 144”, “Article 21”) that embeddings alone frequently miss; hybrid retrieval is a hard architectural requirement, not an optimization (FR-RET-001).</w:t>
            </w:r>
          </w:p>
        </w:tc>
      </w:tr>
    </w:tbl>
    <w:p>
      <w:pPr>
        <w:pStyle w:val="Heading2"/>
        <w:spacing w:after="160" w:before="360"/>
      </w:pPr>
      <w:r>
        <w:rPr>
          <w:rFonts w:ascii="Cambria" w:cs="Cambria" w:eastAsia="Cambria" w:hAnsi="Cambria"/>
          <w:b/>
          <w:bCs/>
          <w:color w:val="1B3A5C"/>
          <w:sz w:val="26"/>
          <w:szCs w:val="26"/>
        </w:rPr>
        <w:t xml:space="preserve">2.6 Assumptions and Dependencies</w:t>
      </w:r>
    </w:p>
    <w:p>
      <w:pPr>
        <w:pStyle w:val="ListParagraph"/>
        <w:numPr>
          <w:ilvl w:val="0"/>
          <w:numId w:val="1"/>
        </w:numPr>
        <w:spacing w:after="90" w:line="276"/>
      </w:pPr>
      <w:r>
        <w:rPr>
          <w:rFonts w:ascii="Calibri" w:cs="Calibri" w:eastAsia="Calibri" w:hAnsi="Calibri"/>
          <w:b w:val="false"/>
          <w:bCs w:val="false"/>
          <w:i w:val="false"/>
          <w:iCs w:val="false"/>
          <w:color w:val="1F2937"/>
          <w:sz w:val="22"/>
          <w:szCs w:val="22"/>
        </w:rPr>
        <w:t xml:space="preserve">Official source portals (India Code, eGazette, eCourts, High Court sites, SC/HC judgment databases) remain reachable and their Terms of Service permit rate-limited, API-first, or otherwise compliant automated access; each source is checked and logged before crawling begins (FR-ING-001).</w:t>
      </w:r>
    </w:p>
    <w:p>
      <w:pPr>
        <w:pStyle w:val="ListParagraph"/>
        <w:numPr>
          <w:ilvl w:val="0"/>
          <w:numId w:val="1"/>
        </w:numPr>
        <w:spacing w:after="90" w:line="276"/>
      </w:pPr>
      <w:r>
        <w:rPr>
          <w:rFonts w:ascii="Calibri" w:cs="Calibri" w:eastAsia="Calibri" w:hAnsi="Calibri"/>
          <w:b w:val="false"/>
          <w:bCs w:val="false"/>
          <w:i w:val="false"/>
          <w:iCs w:val="false"/>
          <w:color w:val="1F2937"/>
          <w:sz w:val="22"/>
          <w:szCs w:val="22"/>
        </w:rPr>
        <w:t xml:space="preserve">Qdrant's native hybrid (dense + sparse) search in a single collection remains sufficient through at least Phase 3, deferring a separate keyword-search service.</w:t>
      </w:r>
    </w:p>
    <w:p>
      <w:pPr>
        <w:pStyle w:val="ListParagraph"/>
        <w:numPr>
          <w:ilvl w:val="0"/>
          <w:numId w:val="1"/>
        </w:numPr>
        <w:spacing w:after="90" w:line="276"/>
      </w:pPr>
      <w:r>
        <w:rPr>
          <w:rFonts w:ascii="Calibri" w:cs="Calibri" w:eastAsia="Calibri" w:hAnsi="Calibri"/>
          <w:b w:val="false"/>
          <w:bCs w:val="false"/>
          <w:i w:val="false"/>
          <w:iCs w:val="false"/>
          <w:color w:val="1F2937"/>
          <w:sz w:val="22"/>
          <w:szCs w:val="22"/>
        </w:rPr>
        <w:t xml:space="preserve">Vertex AI (Gemini family) remains available as the generation backend, including awareness of region-availability quirks (e.g. some Gemini model versions require location="global" rather than a specific region).</w:t>
      </w:r>
    </w:p>
    <w:p>
      <w:pPr>
        <w:pStyle w:val="ListParagraph"/>
        <w:numPr>
          <w:ilvl w:val="0"/>
          <w:numId w:val="1"/>
        </w:numPr>
        <w:spacing w:after="90" w:line="276"/>
      </w:pPr>
      <w:r>
        <w:rPr>
          <w:rFonts w:ascii="Calibri" w:cs="Calibri" w:eastAsia="Calibri" w:hAnsi="Calibri"/>
          <w:b w:val="false"/>
          <w:bCs w:val="false"/>
          <w:i w:val="false"/>
          <w:iCs w:val="false"/>
          <w:color w:val="1F2937"/>
          <w:sz w:val="22"/>
          <w:szCs w:val="22"/>
        </w:rPr>
        <w:t xml:space="preserve">OpenNyAI's pretrained models remain suitable for judgment-text NER and rhetorical-role labelling when the Judicial Layer (Phase 4) begins; because OpenNyAI is trained on judgment structure specifically, it is not assumed useful for statute-only ingestion in Phase 1–3.</w:t>
      </w:r>
    </w:p>
    <w:p>
      <w:pPr>
        <w:pStyle w:val="ListParagraph"/>
        <w:numPr>
          <w:ilvl w:val="0"/>
          <w:numId w:val="1"/>
        </w:numPr>
        <w:spacing w:after="90" w:line="276"/>
      </w:pPr>
      <w:r>
        <w:rPr>
          <w:rFonts w:ascii="Calibri" w:cs="Calibri" w:eastAsia="Calibri" w:hAnsi="Calibri"/>
          <w:b w:val="false"/>
          <w:bCs w:val="false"/>
          <w:i w:val="false"/>
          <w:iCs w:val="false"/>
          <w:color w:val="1F2937"/>
          <w:sz w:val="22"/>
          <w:szCs w:val="22"/>
        </w:rPr>
        <w:t xml:space="preserve">BhashaBench-Legal remains available as a secondary, MCQ-style knowledge-accuracy benchmark; it is not a substitute for the hand-labeled retrieval-precision evaluation set (FR-EVAL-001), since it tests base legal knowledge rather than retrieval quality directly.</w:t>
      </w:r>
    </w:p>
    <w:p>
      <w:pPr>
        <w:pStyle w:val="Heading2"/>
        <w:spacing w:after="160" w:before="360"/>
      </w:pPr>
      <w:r>
        <w:rPr>
          <w:rFonts w:ascii="Cambria" w:cs="Cambria" w:eastAsia="Cambria" w:hAnsi="Cambria"/>
          <w:b/>
          <w:bCs/>
          <w:color w:val="1B3A5C"/>
          <w:sz w:val="26"/>
          <w:szCs w:val="26"/>
        </w:rPr>
        <w:t xml:space="preserve">2.7 Regulatory Landscape Summary</w:t>
      </w:r>
    </w:p>
    <w:p>
      <w:pPr>
        <w:spacing w:after="160" w:before="0" w:line="276"/>
        <w:jc w:val="left"/>
      </w:pPr>
      <w:r>
        <w:rPr>
          <w:rFonts w:ascii="Calibri" w:cs="Calibri" w:eastAsia="Calibri" w:hAnsi="Calibri"/>
          <w:color w:val="1F2937"/>
          <w:sz w:val="22"/>
          <w:szCs w:val="22"/>
        </w:rPr>
        <w:t xml:space="preserve">Three regulatory concerns shape requirements throughout this document, not just the legal/compliance NFR section:</w:t>
      </w:r>
    </w:p>
    <w:p>
      <w:pPr>
        <w:pStyle w:val="ListParagraph"/>
        <w:numPr>
          <w:ilvl w:val="0"/>
          <w:numId w:val="1"/>
        </w:numPr>
        <w:spacing w:after="90" w:line="276"/>
      </w:pPr>
      <w:r>
        <w:rPr>
          <w:rFonts w:ascii="Calibri" w:cs="Calibri" w:eastAsia="Calibri" w:hAnsi="Calibri"/>
          <w:b/>
          <w:bCs/>
          <w:color w:val="1F2937"/>
          <w:sz w:val="22"/>
          <w:szCs w:val="22"/>
        </w:rPr>
        <w:t xml:space="preserve">DPDP Act, 2023 &amp; Rules, 2025. </w:t>
      </w:r>
      <w:r>
        <w:rPr>
          <w:rFonts w:ascii="Calibri" w:cs="Calibri" w:eastAsia="Calibri" w:hAnsi="Calibri"/>
          <w:color w:val="1F2937"/>
          <w:sz w:val="22"/>
          <w:szCs w:val="22"/>
        </w:rPr>
        <w:t xml:space="preserve">India's data-protection law; Rules were notified 13 November 2025 with phased compliance obligations extending to May 2027, and penalties for significant non-compliance running up to ₹250 crore. Court judgments — especially in family, criminal, and matrimonial matters — routinely contain real personal data of named individuals. This is treated as a first-class ingestion concern (FR-ING-006), not an afterthought bolted on when the Judicial Layer ships.</w:t>
      </w:r>
    </w:p>
    <w:p>
      <w:pPr>
        <w:pStyle w:val="ListParagraph"/>
        <w:numPr>
          <w:ilvl w:val="0"/>
          <w:numId w:val="1"/>
        </w:numPr>
        <w:spacing w:after="90" w:line="276"/>
      </w:pPr>
      <w:r>
        <w:rPr>
          <w:rFonts w:ascii="Calibri" w:cs="Calibri" w:eastAsia="Calibri" w:hAnsi="Calibri"/>
          <w:b/>
          <w:bCs/>
          <w:color w:val="1F2937"/>
          <w:sz w:val="22"/>
          <w:szCs w:val="22"/>
        </w:rPr>
        <w:t xml:space="preserve">Advocates Act, 1961, ss. 29 &amp; 33. </w:t>
      </w:r>
      <w:r>
        <w:rPr>
          <w:rFonts w:ascii="Calibri" w:cs="Calibri" w:eastAsia="Calibri" w:hAnsi="Calibri"/>
          <w:color w:val="1F2937"/>
          <w:sz w:val="22"/>
          <w:szCs w:val="22"/>
        </w:rPr>
        <w:t xml:space="preserve">Restricts the practice of law to enrolled advocates. A feature like “generate a draft legal notice” is not a UX nicety — an incorrect answer on, say, a tenancy dispute is a liability event, not a bug report. Disclaimer-and-scope-limiting behavior is a MUST requirement (FR-SEC-004), not a later polish item.</w:t>
      </w:r>
    </w:p>
    <w:p>
      <w:pPr>
        <w:pStyle w:val="ListParagraph"/>
        <w:numPr>
          <w:ilvl w:val="0"/>
          <w:numId w:val="1"/>
        </w:numPr>
        <w:spacing w:after="90" w:line="276"/>
      </w:pPr>
      <w:r>
        <w:rPr>
          <w:rFonts w:ascii="Calibri" w:cs="Calibri" w:eastAsia="Calibri" w:hAnsi="Calibri"/>
          <w:b/>
          <w:bCs/>
          <w:color w:val="1F2937"/>
          <w:sz w:val="22"/>
          <w:szCs w:val="22"/>
        </w:rPr>
        <w:t xml:space="preserve">Source ToS / robots.txt. </w:t>
      </w:r>
      <w:r>
        <w:rPr>
          <w:rFonts w:ascii="Calibri" w:cs="Calibri" w:eastAsia="Calibri" w:hAnsi="Calibri"/>
          <w:color w:val="1F2937"/>
          <w:sz w:val="22"/>
          <w:szCs w:val="22"/>
        </w:rPr>
        <w:t xml:space="preserve">India Code, eGazette, and court-portal Terms of Service may restrict bulk automated access. Every source is checked and its ToS status logged in the source registry before any crawler runs against it (FR-ING-001); official APIs are preferred over scraping wherever one exists.</w:t>
      </w:r>
    </w:p>
    <w:p>
      <w:pPr>
        <w:pStyle w:val="Heading1"/>
        <w:pBdr>
          <w:bottom w:val="single" w:color="B8892B" w:sz="10" w:space="6"/>
        </w:pBdr>
        <w:spacing w:after="220" w:before="480"/>
      </w:pPr>
      <w:r>
        <w:rPr>
          <w:rFonts w:ascii="Cambria" w:cs="Cambria" w:eastAsia="Cambria" w:hAnsi="Cambria"/>
          <w:b/>
          <w:bCs/>
          <w:color w:val="1B3A5C"/>
          <w:sz w:val="32"/>
          <w:szCs w:val="32"/>
        </w:rPr>
        <w:t xml:space="preserve">3. Functional Requirements</w:t>
      </w:r>
    </w:p>
    <w:p>
      <w:pPr>
        <w:spacing w:after="160" w:before="0" w:line="276"/>
        <w:jc w:val="left"/>
      </w:pPr>
      <w:r>
        <w:rPr>
          <w:rFonts w:ascii="Calibri" w:cs="Calibri" w:eastAsia="Calibri" w:hAnsi="Calibri"/>
          <w:color w:val="1F2937"/>
          <w:sz w:val="22"/>
          <w:szCs w:val="22"/>
        </w:rPr>
        <w:t xml:space="preserve">Organized by module. Each requirement has a stable ID, a MoSCoW priority for the MVP (Phase 1) unless otherwise stated, and an acceptance criterion. “MUST” requirements not yet built block a phase's production milestone (see Project Workflow document).</w:t>
      </w:r>
    </w:p>
    <w:p>
      <w:pPr>
        <w:pStyle w:val="Heading2"/>
        <w:spacing w:after="160" w:before="360"/>
      </w:pPr>
      <w:r>
        <w:rPr>
          <w:rFonts w:ascii="Cambria" w:cs="Cambria" w:eastAsia="Cambria" w:hAnsi="Cambria"/>
          <w:b/>
          <w:bCs/>
          <w:color w:val="1B3A5C"/>
          <w:sz w:val="26"/>
          <w:szCs w:val="26"/>
        </w:rPr>
        <w:t xml:space="preserve">3.1 Data Ingestion &amp; Corpus Management</w:t>
      </w:r>
    </w:p>
    <w:p>
      <w:pPr>
        <w:spacing w:after="100" w:before="260"/>
      </w:pPr>
      <w:r>
        <w:rPr>
          <w:rFonts w:ascii="Consolas" w:cs="Consolas" w:eastAsia="Consolas" w:hAnsi="Consolas"/>
          <w:b/>
          <w:bCs/>
          <w:color w:val="1B3A5C"/>
          <w:sz w:val="21"/>
          <w:szCs w:val="21"/>
        </w:rPr>
        <w:t xml:space="preserve">FR-ING-001  </w:t>
      </w:r>
      <w:r>
        <w:rPr>
          <w:rFonts w:ascii="Cambria" w:cs="Cambria" w:eastAsia="Cambria" w:hAnsi="Cambria"/>
          <w:b/>
          <w:bCs/>
          <w:color w:val="1B3A5C"/>
          <w:sz w:val="22"/>
          <w:szCs w:val="22"/>
        </w:rPr>
        <w:t xml:space="preserve">Source registry with ToS/robots.txt compliance gate</w:t>
      </w:r>
      <w:r>
        <w:rPr>
          <w:b/>
          <w:bCs/>
          <w:color w:val="9B3A3A"/>
          <w:sz w:val="17"/>
          <w:szCs w:val="17"/>
        </w:rPr>
        <w:t xml:space="preserve">   [MUST]</w:t>
      </w:r>
    </w:p>
    <w:p>
      <w:pPr>
        <w:spacing w:after="160" w:before="0" w:line="276"/>
        <w:jc w:val="left"/>
      </w:pPr>
      <w:r>
        <w:rPr>
          <w:rFonts w:ascii="Calibri" w:cs="Calibri" w:eastAsia="Calibri" w:hAnsi="Calibri"/>
          <w:color w:val="1F2937"/>
          <w:sz w:val="22"/>
          <w:szCs w:val="22"/>
        </w:rPr>
        <w:t xml:space="preserve">Before any crawler runs against a source, the system records the source's base URL, its ToS/robots.txt status, an official-API-availability flag, and a rate-limit policy in a source_registry table. Crawling a source with an unresolved compliance flag is blocked.</w:t>
      </w:r>
    </w:p>
    <w:p>
      <w:pPr>
        <w:spacing w:after="160" w:before="0" w:line="276"/>
        <w:jc w:val="left"/>
      </w:pPr>
      <w:r>
        <w:rPr>
          <w:rFonts w:ascii="Calibri" w:cs="Calibri" w:eastAsia="Calibri" w:hAnsi="Calibri"/>
          <w:i/>
          <w:iCs/>
          <w:color w:val="1F2937"/>
          <w:sz w:val="22"/>
          <w:szCs w:val="22"/>
        </w:rPr>
        <w:t xml:space="preserve">Acceptance: attempting to register a source without a ToS status raises a validation error; the admin panel (Phase 3+) surfaces source_registry as a reviewable list.</w:t>
      </w:r>
    </w:p>
    <w:p>
      <w:pPr>
        <w:spacing w:after="100" w:before="260"/>
      </w:pPr>
      <w:r>
        <w:rPr>
          <w:rFonts w:ascii="Consolas" w:cs="Consolas" w:eastAsia="Consolas" w:hAnsi="Consolas"/>
          <w:b/>
          <w:bCs/>
          <w:color w:val="1B3A5C"/>
          <w:sz w:val="21"/>
          <w:szCs w:val="21"/>
        </w:rPr>
        <w:t xml:space="preserve">FR-ING-002  </w:t>
      </w:r>
      <w:r>
        <w:rPr>
          <w:rFonts w:ascii="Cambria" w:cs="Cambria" w:eastAsia="Cambria" w:hAnsi="Cambria"/>
          <w:b/>
          <w:bCs/>
          <w:color w:val="1B3A5C"/>
          <w:sz w:val="22"/>
          <w:szCs w:val="22"/>
        </w:rPr>
        <w:t xml:space="preserve">Structure-preserving document acquisition</w:t>
      </w:r>
      <w:r>
        <w:rPr>
          <w:b/>
          <w:bCs/>
          <w:color w:val="9B3A3A"/>
          <w:sz w:val="17"/>
          <w:szCs w:val="17"/>
        </w:rPr>
        <w:t xml:space="preserve">   [MUST]</w:t>
      </w:r>
    </w:p>
    <w:p>
      <w:pPr>
        <w:spacing w:after="160" w:before="0" w:line="276"/>
        <w:jc w:val="left"/>
      </w:pPr>
      <w:r>
        <w:rPr>
          <w:rFonts w:ascii="Calibri" w:cs="Calibri" w:eastAsia="Calibri" w:hAnsi="Calibri"/>
          <w:color w:val="1F2937"/>
          <w:sz w:val="22"/>
          <w:szCs w:val="22"/>
        </w:rPr>
        <w:t xml:space="preserve">Crawlers/scrapers acquire source documents (PDF or HTML) and pass them to the Document Cleaner, which normalizes to clean text while preserving hierarchical structure markers (Part, Chapter, Section, Sub-section, Clause) needed for downstream chunking.</w:t>
      </w:r>
    </w:p>
    <w:p>
      <w:pPr>
        <w:spacing w:after="100" w:before="260"/>
      </w:pPr>
      <w:r>
        <w:rPr>
          <w:rFonts w:ascii="Consolas" w:cs="Consolas" w:eastAsia="Consolas" w:hAnsi="Consolas"/>
          <w:b/>
          <w:bCs/>
          <w:color w:val="1B3A5C"/>
          <w:sz w:val="21"/>
          <w:szCs w:val="21"/>
        </w:rPr>
        <w:t xml:space="preserve">FR-ING-003  </w:t>
      </w:r>
      <w:r>
        <w:rPr>
          <w:rFonts w:ascii="Cambria" w:cs="Cambria" w:eastAsia="Cambria" w:hAnsi="Cambria"/>
          <w:b/>
          <w:bCs/>
          <w:color w:val="1B3A5C"/>
          <w:sz w:val="22"/>
          <w:szCs w:val="22"/>
        </w:rPr>
        <w:t xml:space="preserve">Metadata extraction at ingestion time</w:t>
      </w:r>
      <w:r>
        <w:rPr>
          <w:b/>
          <w:bCs/>
          <w:color w:val="9B3A3A"/>
          <w:sz w:val="17"/>
          <w:szCs w:val="17"/>
        </w:rPr>
        <w:t xml:space="preserve">   [MUST]</w:t>
      </w:r>
    </w:p>
    <w:p>
      <w:pPr>
        <w:spacing w:after="160" w:before="0" w:line="276"/>
        <w:jc w:val="left"/>
      </w:pPr>
      <w:r>
        <w:rPr>
          <w:rFonts w:ascii="Calibri" w:cs="Calibri" w:eastAsia="Calibri" w:hAnsi="Calibri"/>
          <w:color w:val="1F2937"/>
          <w:sz w:val="22"/>
          <w:szCs w:val="22"/>
        </w:rPr>
        <w:t xml:space="preserve">Every ingested unit is tagged with: document name, document type, article/section/sub-section identifiers, chapter, jurisdiction (state/central), district (where applicable), issuing authority, effective date, language, category, version identifier, and source URL. Raw text is never stored without this metadata envelope.</w:t>
      </w:r>
    </w:p>
    <w:p>
      <w:pPr>
        <w:spacing w:after="100" w:before="260"/>
      </w:pPr>
      <w:r>
        <w:rPr>
          <w:rFonts w:ascii="Consolas" w:cs="Consolas" w:eastAsia="Consolas" w:hAnsi="Consolas"/>
          <w:b/>
          <w:bCs/>
          <w:color w:val="1B3A5C"/>
          <w:sz w:val="21"/>
          <w:szCs w:val="21"/>
        </w:rPr>
        <w:t xml:space="preserve">FR-ING-004  </w:t>
      </w:r>
      <w:r>
        <w:rPr>
          <w:rFonts w:ascii="Cambria" w:cs="Cambria" w:eastAsia="Cambria" w:hAnsi="Cambria"/>
          <w:b/>
          <w:bCs/>
          <w:color w:val="1B3A5C"/>
          <w:sz w:val="22"/>
          <w:szCs w:val="22"/>
        </w:rPr>
        <w:t xml:space="preserve">Rule-based + NLP-assisted extraction</w:t>
      </w:r>
      <w:r>
        <w:rPr>
          <w:b/>
          <w:bCs/>
          <w:color w:val="B45309"/>
          <w:sz w:val="17"/>
          <w:szCs w:val="17"/>
        </w:rPr>
        <w:t xml:space="preserve">   [SHOULD]</w:t>
      </w:r>
    </w:p>
    <w:p>
      <w:pPr>
        <w:spacing w:after="160" w:before="0" w:line="276"/>
        <w:jc w:val="left"/>
      </w:pPr>
      <w:r>
        <w:rPr>
          <w:rFonts w:ascii="Calibri" w:cs="Calibri" w:eastAsia="Calibri" w:hAnsi="Calibri"/>
          <w:color w:val="1F2937"/>
          <w:sz w:val="22"/>
          <w:szCs w:val="22"/>
        </w:rPr>
        <w:t xml:space="preserve">Metadata and named-entity extraction combines deterministic rules (regex/structure-based for statutes) with an NLP-assisted pass; for judgments (Phase 4+), the NLP pass uses OpenNyAI's NER and rhetorical-role models rather than a hand-built extractor.</w:t>
      </w:r>
    </w:p>
    <w:p>
      <w:pPr>
        <w:spacing w:after="100" w:before="260"/>
      </w:pPr>
      <w:r>
        <w:rPr>
          <w:rFonts w:ascii="Consolas" w:cs="Consolas" w:eastAsia="Consolas" w:hAnsi="Consolas"/>
          <w:b/>
          <w:bCs/>
          <w:color w:val="1B3A5C"/>
          <w:sz w:val="21"/>
          <w:szCs w:val="21"/>
        </w:rPr>
        <w:t xml:space="preserve">FR-ING-005  </w:t>
      </w:r>
      <w:r>
        <w:rPr>
          <w:rFonts w:ascii="Cambria" w:cs="Cambria" w:eastAsia="Cambria" w:hAnsi="Cambria"/>
          <w:b/>
          <w:bCs/>
          <w:color w:val="1B3A5C"/>
          <w:sz w:val="22"/>
          <w:szCs w:val="22"/>
        </w:rPr>
        <w:t xml:space="preserve">Reusable, source-agnostic pipeline (zero-code onboarding)</w:t>
      </w:r>
      <w:r>
        <w:rPr>
          <w:b/>
          <w:bCs/>
          <w:color w:val="9B3A3A"/>
          <w:sz w:val="17"/>
          <w:szCs w:val="17"/>
        </w:rPr>
        <w:t xml:space="preserve">   [MUST]</w:t>
      </w:r>
    </w:p>
    <w:p>
      <w:pPr>
        <w:spacing w:after="160" w:before="0" w:line="276"/>
        <w:jc w:val="left"/>
      </w:pPr>
      <w:r>
        <w:rPr>
          <w:rFonts w:ascii="Calibri" w:cs="Calibri" w:eastAsia="Calibri" w:hAnsi="Calibri"/>
          <w:color w:val="1F2937"/>
          <w:sz w:val="22"/>
          <w:szCs w:val="22"/>
        </w:rPr>
        <w:t xml:space="preserve">From Phase 3 onward, onboarding a new Act, notification, or regulation requires only a new ingestion-source configuration (crawler target, parser profile, metadata mapping) — no change to chunking, embedding, retrieval, or generation code.</w:t>
      </w:r>
    </w:p>
    <w:p>
      <w:pPr>
        <w:spacing w:after="160" w:before="0" w:line="276"/>
        <w:jc w:val="left"/>
      </w:pPr>
      <w:r>
        <w:rPr>
          <w:rFonts w:ascii="Calibri" w:cs="Calibri" w:eastAsia="Calibri" w:hAnsi="Calibri"/>
          <w:i/>
          <w:iCs/>
          <w:color w:val="1F2937"/>
          <w:sz w:val="22"/>
          <w:szCs w:val="22"/>
        </w:rPr>
        <w:t xml:space="preserve">Acceptance: a new central Act is demonstrably onboarded and answerable in the live system in under one working day of configuration effort, with zero pull requests touching retrieval or generation code.</w:t>
      </w:r>
    </w:p>
    <w:p>
      <w:pPr>
        <w:spacing w:after="100" w:before="260"/>
      </w:pPr>
      <w:r>
        <w:rPr>
          <w:rFonts w:ascii="Consolas" w:cs="Consolas" w:eastAsia="Consolas" w:hAnsi="Consolas"/>
          <w:b/>
          <w:bCs/>
          <w:color w:val="1B3A5C"/>
          <w:sz w:val="21"/>
          <w:szCs w:val="21"/>
        </w:rPr>
        <w:t xml:space="preserve">FR-ING-006  </w:t>
      </w:r>
      <w:r>
        <w:rPr>
          <w:rFonts w:ascii="Cambria" w:cs="Cambria" w:eastAsia="Cambria" w:hAnsi="Cambria"/>
          <w:b/>
          <w:bCs/>
          <w:color w:val="1B3A5C"/>
          <w:sz w:val="22"/>
          <w:szCs w:val="22"/>
        </w:rPr>
        <w:t xml:space="preserve">DPDP-compliant handling of personal data in judgments</w:t>
      </w:r>
      <w:r>
        <w:rPr>
          <w:b/>
          <w:bCs/>
          <w:color w:val="9B3A3A"/>
          <w:sz w:val="17"/>
          <w:szCs w:val="17"/>
        </w:rPr>
        <w:t xml:space="preserve">   [MUST]</w:t>
      </w:r>
    </w:p>
    <w:p>
      <w:pPr>
        <w:spacing w:after="160" w:before="0" w:line="276"/>
        <w:jc w:val="left"/>
      </w:pPr>
      <w:r>
        <w:rPr>
          <w:rFonts w:ascii="Calibri" w:cs="Calibri" w:eastAsia="Calibri" w:hAnsi="Calibri"/>
          <w:color w:val="1F2937"/>
          <w:sz w:val="22"/>
          <w:szCs w:val="22"/>
        </w:rPr>
        <w:t xml:space="preserve">Before any judgment is ingested (Phase 4), the pipeline applies a defined policy: redact or exclude categories of personal data (e.g. minors' identities, matrimonial-case personal details) per an explicit, documented rule set, consistent with DPDP Act obligations. This is a MUST for Phase 4's production milestone — the Judicial Layer does not ship without it.</w:t>
      </w:r>
    </w:p>
    <w:p>
      <w:pPr>
        <w:pStyle w:val="Heading2"/>
        <w:spacing w:after="160" w:before="360"/>
      </w:pPr>
      <w:r>
        <w:rPr>
          <w:rFonts w:ascii="Cambria" w:cs="Cambria" w:eastAsia="Cambria" w:hAnsi="Cambria"/>
          <w:b/>
          <w:bCs/>
          <w:color w:val="1B3A5C"/>
          <w:sz w:val="26"/>
          <w:szCs w:val="26"/>
        </w:rPr>
        <w:t xml:space="preserve">3.2 Document Processing</w:t>
      </w:r>
    </w:p>
    <w:p>
      <w:pPr>
        <w:spacing w:after="100" w:before="260"/>
      </w:pPr>
      <w:r>
        <w:rPr>
          <w:rFonts w:ascii="Consolas" w:cs="Consolas" w:eastAsia="Consolas" w:hAnsi="Consolas"/>
          <w:b/>
          <w:bCs/>
          <w:color w:val="1B3A5C"/>
          <w:sz w:val="21"/>
          <w:szCs w:val="21"/>
        </w:rPr>
        <w:t xml:space="preserve">FR-PROC-001  </w:t>
      </w:r>
      <w:r>
        <w:rPr>
          <w:rFonts w:ascii="Cambria" w:cs="Cambria" w:eastAsia="Cambria" w:hAnsi="Cambria"/>
          <w:b/>
          <w:bCs/>
          <w:color w:val="1B3A5C"/>
          <w:sz w:val="22"/>
          <w:szCs w:val="22"/>
        </w:rPr>
        <w:t xml:space="preserve">Hierarchical, structure-aware chunking</w:t>
      </w:r>
      <w:r>
        <w:rPr>
          <w:b/>
          <w:bCs/>
          <w:color w:val="9B3A3A"/>
          <w:sz w:val="17"/>
          <w:szCs w:val="17"/>
        </w:rPr>
        <w:t xml:space="preserve">   [MUST]</w:t>
      </w:r>
    </w:p>
    <w:p>
      <w:pPr>
        <w:spacing w:after="160" w:before="0" w:line="276"/>
        <w:jc w:val="left"/>
      </w:pPr>
      <w:r>
        <w:rPr>
          <w:rFonts w:ascii="Calibri" w:cs="Calibri" w:eastAsia="Calibri" w:hAnsi="Calibri"/>
          <w:color w:val="1F2937"/>
          <w:sz w:val="22"/>
          <w:szCs w:val="22"/>
        </w:rPr>
        <w:t xml:space="preserve">Chunks respect Part/Chapter/Section/Clause boundaries rather than fixed character windows, stay under 512 tokens (a cross-encoder reranker accuracy constraint), and retain a back-reference to their parent section and document.</w:t>
      </w:r>
    </w:p>
    <w:p>
      <w:pPr>
        <w:spacing w:after="100" w:before="260"/>
      </w:pPr>
      <w:r>
        <w:rPr>
          <w:rFonts w:ascii="Consolas" w:cs="Consolas" w:eastAsia="Consolas" w:hAnsi="Consolas"/>
          <w:b/>
          <w:bCs/>
          <w:color w:val="1B3A5C"/>
          <w:sz w:val="21"/>
          <w:szCs w:val="21"/>
        </w:rPr>
        <w:t xml:space="preserve">FR-PROC-002  </w:t>
      </w:r>
      <w:r>
        <w:rPr>
          <w:rFonts w:ascii="Cambria" w:cs="Cambria" w:eastAsia="Cambria" w:hAnsi="Cambria"/>
          <w:b/>
          <w:bCs/>
          <w:color w:val="1B3A5C"/>
          <w:sz w:val="22"/>
          <w:szCs w:val="22"/>
        </w:rPr>
        <w:t xml:space="preserve">Cross-reference extraction</w:t>
      </w:r>
      <w:r>
        <w:rPr>
          <w:b/>
          <w:bCs/>
          <w:color w:val="9B3A3A"/>
          <w:sz w:val="17"/>
          <w:szCs w:val="17"/>
        </w:rPr>
        <w:t xml:space="preserve">   [MUST]</w:t>
      </w:r>
    </w:p>
    <w:p>
      <w:pPr>
        <w:spacing w:after="160" w:before="0" w:line="276"/>
        <w:jc w:val="left"/>
      </w:pPr>
      <w:r>
        <w:rPr>
          <w:rFonts w:ascii="Calibri" w:cs="Calibri" w:eastAsia="Calibri" w:hAnsi="Calibri"/>
          <w:color w:val="1F2937"/>
          <w:sz w:val="22"/>
          <w:szCs w:val="22"/>
        </w:rPr>
        <w:t xml:space="preserve">During chunking, references from one section to another (e.g. “as defined in Section 2(l)”, “subject to Section 8”) are extracted and stored as a lightweight, queryable graph (section → sections it cites, and the reverse edge), not left implicit in the chunk text.</w:t>
      </w:r>
    </w:p>
    <w:p>
      <w:pPr>
        <w:spacing w:after="100" w:before="260"/>
      </w:pPr>
      <w:r>
        <w:rPr>
          <w:rFonts w:ascii="Consolas" w:cs="Consolas" w:eastAsia="Consolas" w:hAnsi="Consolas"/>
          <w:b/>
          <w:bCs/>
          <w:color w:val="1B3A5C"/>
          <w:sz w:val="21"/>
          <w:szCs w:val="21"/>
        </w:rPr>
        <w:t xml:space="preserve">FR-PROC-003  </w:t>
      </w:r>
      <w:r>
        <w:rPr>
          <w:rFonts w:ascii="Cambria" w:cs="Cambria" w:eastAsia="Cambria" w:hAnsi="Cambria"/>
          <w:b/>
          <w:bCs/>
          <w:color w:val="1B3A5C"/>
          <w:sz w:val="22"/>
          <w:szCs w:val="22"/>
        </w:rPr>
        <w:t xml:space="preserve">Local embedding generation</w:t>
      </w:r>
      <w:r>
        <w:rPr>
          <w:b/>
          <w:bCs/>
          <w:color w:val="9B3A3A"/>
          <w:sz w:val="17"/>
          <w:szCs w:val="17"/>
        </w:rPr>
        <w:t xml:space="preserve">   [MUST]</w:t>
      </w:r>
    </w:p>
    <w:p>
      <w:pPr>
        <w:spacing w:after="160" w:before="0" w:line="276"/>
        <w:jc w:val="left"/>
      </w:pPr>
      <w:r>
        <w:rPr>
          <w:rFonts w:ascii="Calibri" w:cs="Calibri" w:eastAsia="Calibri" w:hAnsi="Calibri"/>
          <w:color w:val="1F2937"/>
          <w:sz w:val="22"/>
          <w:szCs w:val="22"/>
        </w:rPr>
        <w:t xml:space="preserve">Embeddings are generated locally on the team's GPU-equipped development hardware using an open, self-hosted model (BGE-M3), avoiding per-token embedding API costs and keeping the corpus fully reproducible offline.</w:t>
      </w:r>
    </w:p>
    <w:p>
      <w:pPr>
        <w:pStyle w:val="Heading2"/>
        <w:spacing w:after="160" w:before="360"/>
      </w:pPr>
      <w:r>
        <w:rPr>
          <w:rFonts w:ascii="Cambria" w:cs="Cambria" w:eastAsia="Cambria" w:hAnsi="Cambria"/>
          <w:b/>
          <w:bCs/>
          <w:color w:val="1B3A5C"/>
          <w:sz w:val="26"/>
          <w:szCs w:val="26"/>
        </w:rPr>
        <w:t xml:space="preserve">3.3 Retrieval</w:t>
      </w:r>
    </w:p>
    <w:p>
      <w:pPr>
        <w:spacing w:after="100" w:before="260"/>
      </w:pPr>
      <w:r>
        <w:rPr>
          <w:rFonts w:ascii="Consolas" w:cs="Consolas" w:eastAsia="Consolas" w:hAnsi="Consolas"/>
          <w:b/>
          <w:bCs/>
          <w:color w:val="1B3A5C"/>
          <w:sz w:val="21"/>
          <w:szCs w:val="21"/>
        </w:rPr>
        <w:t xml:space="preserve">FR-RET-001  </w:t>
      </w:r>
      <w:r>
        <w:rPr>
          <w:rFonts w:ascii="Cambria" w:cs="Cambria" w:eastAsia="Cambria" w:hAnsi="Cambria"/>
          <w:b/>
          <w:bCs/>
          <w:color w:val="1B3A5C"/>
          <w:sz w:val="22"/>
          <w:szCs w:val="22"/>
        </w:rPr>
        <w:t xml:space="preserve">Hybrid sparse + dense retrieval</w:t>
      </w:r>
      <w:r>
        <w:rPr>
          <w:b/>
          <w:bCs/>
          <w:color w:val="9B3A3A"/>
          <w:sz w:val="17"/>
          <w:szCs w:val="17"/>
        </w:rPr>
        <w:t xml:space="preserve">   [MUST]</w:t>
      </w:r>
    </w:p>
    <w:p>
      <w:pPr>
        <w:spacing w:after="160" w:before="0" w:line="276"/>
        <w:jc w:val="left"/>
      </w:pPr>
      <w:r>
        <w:rPr>
          <w:rFonts w:ascii="Calibri" w:cs="Calibri" w:eastAsia="Calibri" w:hAnsi="Calibri"/>
          <w:color w:val="1F2937"/>
          <w:sz w:val="22"/>
          <w:szCs w:val="22"/>
        </w:rPr>
        <w:t xml:space="preserve">Every query is answered using both a sparse (keyword/BM25-class) search and a dense (semantic vector) search over the same corpus, merged by Reciprocal Rank Fusion — not by dense search alone. This is the system's central architectural bet: legal text is identifier-heavy (“Section 144”, “Article 21”) in ways pure embeddings systematically under-retrieve.</w:t>
      </w:r>
    </w:p>
    <w:p>
      <w:pPr>
        <w:spacing w:after="100" w:before="260"/>
      </w:pPr>
      <w:r>
        <w:rPr>
          <w:rFonts w:ascii="Consolas" w:cs="Consolas" w:eastAsia="Consolas" w:hAnsi="Consolas"/>
          <w:b/>
          <w:bCs/>
          <w:color w:val="1B3A5C"/>
          <w:sz w:val="21"/>
          <w:szCs w:val="21"/>
        </w:rPr>
        <w:t xml:space="preserve">FR-RET-002  </w:t>
      </w:r>
      <w:r>
        <w:rPr>
          <w:rFonts w:ascii="Cambria" w:cs="Cambria" w:eastAsia="Cambria" w:hAnsi="Cambria"/>
          <w:b/>
          <w:bCs/>
          <w:color w:val="1B3A5C"/>
          <w:sz w:val="22"/>
          <w:szCs w:val="22"/>
        </w:rPr>
        <w:t xml:space="preserve">Cross-encoder reranking</w:t>
      </w:r>
      <w:r>
        <w:rPr>
          <w:b/>
          <w:bCs/>
          <w:color w:val="9B3A3A"/>
          <w:sz w:val="17"/>
          <w:szCs w:val="17"/>
        </w:rPr>
        <w:t xml:space="preserve">   [MUST]</w:t>
      </w:r>
    </w:p>
    <w:p>
      <w:pPr>
        <w:spacing w:after="160" w:before="0" w:line="276"/>
        <w:jc w:val="left"/>
      </w:pPr>
      <w:r>
        <w:rPr>
          <w:rFonts w:ascii="Calibri" w:cs="Calibri" w:eastAsia="Calibri" w:hAnsi="Calibri"/>
          <w:color w:val="1F2937"/>
          <w:sz w:val="22"/>
          <w:szCs w:val="22"/>
        </w:rPr>
        <w:t xml:space="preserve">The fused top-k candidates from FR-RET-001 are re-scored by a cross-encoder reranker before being passed forward, trading a small latency cost for materially better precision at the top of the ranking.</w:t>
      </w:r>
    </w:p>
    <w:p>
      <w:pPr>
        <w:spacing w:after="100" w:before="260"/>
      </w:pPr>
      <w:r>
        <w:rPr>
          <w:rFonts w:ascii="Consolas" w:cs="Consolas" w:eastAsia="Consolas" w:hAnsi="Consolas"/>
          <w:b/>
          <w:bCs/>
          <w:color w:val="1B3A5C"/>
          <w:sz w:val="21"/>
          <w:szCs w:val="21"/>
        </w:rPr>
        <w:t xml:space="preserve">FR-RET-003  </w:t>
      </w:r>
      <w:r>
        <w:rPr>
          <w:rFonts w:ascii="Cambria" w:cs="Cambria" w:eastAsia="Cambria" w:hAnsi="Cambria"/>
          <w:b/>
          <w:bCs/>
          <w:color w:val="1B3A5C"/>
          <w:sz w:val="22"/>
          <w:szCs w:val="22"/>
        </w:rPr>
        <w:t xml:space="preserve">Cross-reference expansion</w:t>
      </w:r>
      <w:r>
        <w:rPr>
          <w:b/>
          <w:bCs/>
          <w:color w:val="9B3A3A"/>
          <w:sz w:val="17"/>
          <w:szCs w:val="17"/>
        </w:rPr>
        <w:t xml:space="preserve">   [MUST]</w:t>
      </w:r>
    </w:p>
    <w:p>
      <w:pPr>
        <w:spacing w:after="160" w:before="0" w:line="276"/>
        <w:jc w:val="left"/>
      </w:pPr>
      <w:r>
        <w:rPr>
          <w:rFonts w:ascii="Calibri" w:cs="Calibri" w:eastAsia="Calibri" w:hAnsi="Calibri"/>
          <w:color w:val="1F2937"/>
          <w:sz w:val="22"/>
          <w:szCs w:val="22"/>
        </w:rPr>
        <w:t xml:space="preserve">Before context assembly, the retrieval service consults the cross-reference graph (FR-PROC-002) and pulls in sections that a top-ranked chunk cites, so the model isn't reasoning over a clause stripped of the definitions or conditions it depends on.</w:t>
      </w:r>
    </w:p>
    <w:p>
      <w:pPr>
        <w:spacing w:after="100" w:before="260"/>
      </w:pPr>
      <w:r>
        <w:rPr>
          <w:rFonts w:ascii="Consolas" w:cs="Consolas" w:eastAsia="Consolas" w:hAnsi="Consolas"/>
          <w:b/>
          <w:bCs/>
          <w:color w:val="1B3A5C"/>
          <w:sz w:val="21"/>
          <w:szCs w:val="21"/>
        </w:rPr>
        <w:t xml:space="preserve">FR-RET-004  </w:t>
      </w:r>
      <w:r>
        <w:rPr>
          <w:rFonts w:ascii="Cambria" w:cs="Cambria" w:eastAsia="Cambria" w:hAnsi="Cambria"/>
          <w:b/>
          <w:bCs/>
          <w:color w:val="1B3A5C"/>
          <w:sz w:val="22"/>
          <w:szCs w:val="22"/>
        </w:rPr>
        <w:t xml:space="preserve">Multi-hop query handling (explicitly scoped)</w:t>
      </w:r>
      <w:r>
        <w:rPr>
          <w:b/>
          <w:bCs/>
          <w:color w:val="B45309"/>
          <w:sz w:val="17"/>
          <w:szCs w:val="17"/>
        </w:rPr>
        <w:t xml:space="preserve">   [SHOULD]</w:t>
      </w:r>
    </w:p>
    <w:p>
      <w:pPr>
        <w:spacing w:after="160" w:before="0" w:line="276"/>
        <w:jc w:val="left"/>
      </w:pPr>
      <w:r>
        <w:rPr>
          <w:rFonts w:ascii="Calibri" w:cs="Calibri" w:eastAsia="Calibri" w:hAnsi="Calibri"/>
          <w:color w:val="1F2937"/>
          <w:sz w:val="22"/>
          <w:szCs w:val="22"/>
        </w:rPr>
        <w:t xml:space="preserve">Single-hop questions (“what does Article 21 say”) are fully supported at MVP. Multi-hop questions (“compare Article 21 with Article 19”) are explicitly out of scope for Phase 1–2 and documented as such in the evaluation set rather than silently failing; query decomposition for true multi-hop reasoning is scoped to Phase 3.</w:t>
      </w:r>
    </w:p>
    <w:p>
      <w:pPr>
        <w:pStyle w:val="Heading2"/>
        <w:spacing w:after="160" w:before="360"/>
      </w:pPr>
      <w:r>
        <w:rPr>
          <w:rFonts w:ascii="Cambria" w:cs="Cambria" w:eastAsia="Cambria" w:hAnsi="Cambria"/>
          <w:b/>
          <w:bCs/>
          <w:color w:val="1B3A5C"/>
          <w:sz w:val="26"/>
          <w:szCs w:val="26"/>
        </w:rPr>
        <w:t xml:space="preserve">3.4 Answer Generation</w:t>
      </w:r>
    </w:p>
    <w:p>
      <w:pPr>
        <w:spacing w:after="100" w:before="260"/>
      </w:pPr>
      <w:r>
        <w:rPr>
          <w:rFonts w:ascii="Consolas" w:cs="Consolas" w:eastAsia="Consolas" w:hAnsi="Consolas"/>
          <w:b/>
          <w:bCs/>
          <w:color w:val="1B3A5C"/>
          <w:sz w:val="21"/>
          <w:szCs w:val="21"/>
        </w:rPr>
        <w:t xml:space="preserve">FR-GEN-001  </w:t>
      </w:r>
      <w:r>
        <w:rPr>
          <w:rFonts w:ascii="Cambria" w:cs="Cambria" w:eastAsia="Cambria" w:hAnsi="Cambria"/>
          <w:b/>
          <w:bCs/>
          <w:color w:val="1B3A5C"/>
          <w:sz w:val="22"/>
          <w:szCs w:val="22"/>
        </w:rPr>
        <w:t xml:space="preserve">Grounded generation only</w:t>
      </w:r>
      <w:r>
        <w:rPr>
          <w:b/>
          <w:bCs/>
          <w:color w:val="9B3A3A"/>
          <w:sz w:val="17"/>
          <w:szCs w:val="17"/>
        </w:rPr>
        <w:t xml:space="preserve">   [MUST]</w:t>
      </w:r>
    </w:p>
    <w:p>
      <w:pPr>
        <w:spacing w:after="160" w:before="0" w:line="276"/>
        <w:jc w:val="left"/>
      </w:pPr>
      <w:r>
        <w:rPr>
          <w:rFonts w:ascii="Calibri" w:cs="Calibri" w:eastAsia="Calibri" w:hAnsi="Calibri"/>
          <w:color w:val="1F2937"/>
          <w:sz w:val="22"/>
          <w:szCs w:val="22"/>
        </w:rPr>
        <w:t xml:space="preserve">The LLM generation step never runs without a populated, retrieved context. There is no “general knowledge fallback” path for in-scope legal questions.</w:t>
      </w:r>
    </w:p>
    <w:p>
      <w:pPr>
        <w:spacing w:after="100" w:before="260"/>
      </w:pPr>
      <w:r>
        <w:rPr>
          <w:rFonts w:ascii="Consolas" w:cs="Consolas" w:eastAsia="Consolas" w:hAnsi="Consolas"/>
          <w:b/>
          <w:bCs/>
          <w:color w:val="1B3A5C"/>
          <w:sz w:val="21"/>
          <w:szCs w:val="21"/>
        </w:rPr>
        <w:t xml:space="preserve">FR-GEN-002  </w:t>
      </w:r>
      <w:r>
        <w:rPr>
          <w:rFonts w:ascii="Cambria" w:cs="Cambria" w:eastAsia="Cambria" w:hAnsi="Cambria"/>
          <w:b/>
          <w:bCs/>
          <w:color w:val="1B3A5C"/>
          <w:sz w:val="22"/>
          <w:szCs w:val="22"/>
        </w:rPr>
        <w:t xml:space="preserve">Inline, section-level citations</w:t>
      </w:r>
      <w:r>
        <w:rPr>
          <w:b/>
          <w:bCs/>
          <w:color w:val="9B3A3A"/>
          <w:sz w:val="17"/>
          <w:szCs w:val="17"/>
        </w:rPr>
        <w:t xml:space="preserve">   [MUST]</w:t>
      </w:r>
    </w:p>
    <w:p>
      <w:pPr>
        <w:spacing w:after="160" w:before="0" w:line="276"/>
        <w:jc w:val="left"/>
      </w:pPr>
      <w:r>
        <w:rPr>
          <w:rFonts w:ascii="Calibri" w:cs="Calibri" w:eastAsia="Calibri" w:hAnsi="Calibri"/>
          <w:color w:val="1F2937"/>
          <w:sz w:val="22"/>
          <w:szCs w:val="22"/>
        </w:rPr>
        <w:t xml:space="preserve">Every factual claim in a generated answer is attributable to a specific cited chunk, rendered as an inline citation the user can click through to the citation viewer (FR-UI-002).</w:t>
      </w:r>
    </w:p>
    <w:p>
      <w:pPr>
        <w:spacing w:after="100" w:before="260"/>
      </w:pPr>
      <w:r>
        <w:rPr>
          <w:rFonts w:ascii="Consolas" w:cs="Consolas" w:eastAsia="Consolas" w:hAnsi="Consolas"/>
          <w:b/>
          <w:bCs/>
          <w:color w:val="1B3A5C"/>
          <w:sz w:val="21"/>
          <w:szCs w:val="21"/>
        </w:rPr>
        <w:t xml:space="preserve">FR-GEN-003  </w:t>
      </w:r>
      <w:r>
        <w:rPr>
          <w:rFonts w:ascii="Cambria" w:cs="Cambria" w:eastAsia="Cambria" w:hAnsi="Cambria"/>
          <w:b/>
          <w:bCs/>
          <w:color w:val="1B3A5C"/>
          <w:sz w:val="22"/>
          <w:szCs w:val="22"/>
        </w:rPr>
        <w:t xml:space="preserve">Vertex AI-based generation</w:t>
      </w:r>
      <w:r>
        <w:rPr>
          <w:b/>
          <w:bCs/>
          <w:color w:val="9B3A3A"/>
          <w:sz w:val="17"/>
          <w:szCs w:val="17"/>
        </w:rPr>
        <w:t xml:space="preserve">   [MUST]</w:t>
      </w:r>
    </w:p>
    <w:p>
      <w:pPr>
        <w:spacing w:after="160" w:before="0" w:line="276"/>
        <w:jc w:val="left"/>
      </w:pPr>
      <w:r>
        <w:rPr>
          <w:rFonts w:ascii="Calibri" w:cs="Calibri" w:eastAsia="Calibri" w:hAnsi="Calibri"/>
          <w:color w:val="1F2937"/>
          <w:sz w:val="22"/>
          <w:szCs w:val="22"/>
        </w:rPr>
        <w:t xml:space="preserve">Generation calls Vertex AI's Gemini models rather than a self-hosted LLM, consistent with the team's existing GCP/Vertex AI operational experience and the hardware constraint in Section 2.5. Implementers should note the known region-availability gotcha where some Gemini model versions require location="global" rather than a specific region.</w:t>
      </w:r>
    </w:p>
    <w:p>
      <w:pPr>
        <w:spacing w:after="100" w:before="260"/>
      </w:pPr>
      <w:r>
        <w:rPr>
          <w:rFonts w:ascii="Consolas" w:cs="Consolas" w:eastAsia="Consolas" w:hAnsi="Consolas"/>
          <w:b/>
          <w:bCs/>
          <w:color w:val="1B3A5C"/>
          <w:sz w:val="21"/>
          <w:szCs w:val="21"/>
        </w:rPr>
        <w:t xml:space="preserve">FR-GEN-004  </w:t>
      </w:r>
      <w:r>
        <w:rPr>
          <w:rFonts w:ascii="Cambria" w:cs="Cambria" w:eastAsia="Cambria" w:hAnsi="Cambria"/>
          <w:b/>
          <w:bCs/>
          <w:color w:val="1B3A5C"/>
          <w:sz w:val="22"/>
          <w:szCs w:val="22"/>
        </w:rPr>
        <w:t xml:space="preserve">Prompt-enforced citation formatting</w:t>
      </w:r>
      <w:r>
        <w:rPr>
          <w:b/>
          <w:bCs/>
          <w:color w:val="9B3A3A"/>
          <w:sz w:val="17"/>
          <w:szCs w:val="17"/>
        </w:rPr>
        <w:t xml:space="preserve">   [MUST]</w:t>
      </w:r>
    </w:p>
    <w:p>
      <w:pPr>
        <w:spacing w:after="160" w:before="0" w:line="276"/>
        <w:jc w:val="left"/>
      </w:pPr>
      <w:r>
        <w:rPr>
          <w:rFonts w:ascii="Calibri" w:cs="Calibri" w:eastAsia="Calibri" w:hAnsi="Calibri"/>
          <w:color w:val="1F2937"/>
          <w:sz w:val="22"/>
          <w:szCs w:val="22"/>
        </w:rPr>
        <w:t xml:space="preserve">The system prompt enforces a strict citation format (document, section/article, sub-section where applicable) so citations are machine-parseable for the faithfulness checker (FR-FAITH-001) and the citation viewer.</w:t>
      </w:r>
    </w:p>
    <w:p>
      <w:pPr>
        <w:spacing w:after="100" w:before="260"/>
      </w:pPr>
      <w:r>
        <w:rPr>
          <w:rFonts w:ascii="Consolas" w:cs="Consolas" w:eastAsia="Consolas" w:hAnsi="Consolas"/>
          <w:b/>
          <w:bCs/>
          <w:color w:val="1B3A5C"/>
          <w:sz w:val="21"/>
          <w:szCs w:val="21"/>
        </w:rPr>
        <w:t xml:space="preserve">FR-GEN-005  </w:t>
      </w:r>
      <w:r>
        <w:rPr>
          <w:rFonts w:ascii="Cambria" w:cs="Cambria" w:eastAsia="Cambria" w:hAnsi="Cambria"/>
          <w:b/>
          <w:bCs/>
          <w:color w:val="1B3A5C"/>
          <w:sz w:val="22"/>
          <w:szCs w:val="22"/>
        </w:rPr>
        <w:t xml:space="preserve">Explicit low-confidence / out-of-scope fallback</w:t>
      </w:r>
      <w:r>
        <w:rPr>
          <w:b/>
          <w:bCs/>
          <w:color w:val="9B3A3A"/>
          <w:sz w:val="17"/>
          <w:szCs w:val="17"/>
        </w:rPr>
        <w:t xml:space="preserve">   [MUST]</w:t>
      </w:r>
    </w:p>
    <w:p>
      <w:pPr>
        <w:spacing w:after="160" w:before="0" w:line="276"/>
        <w:jc w:val="left"/>
      </w:pPr>
      <w:r>
        <w:rPr>
          <w:rFonts w:ascii="Calibri" w:cs="Calibri" w:eastAsia="Calibri" w:hAnsi="Calibri"/>
          <w:color w:val="1F2937"/>
          <w:sz w:val="22"/>
          <w:szCs w:val="22"/>
        </w:rPr>
        <w:t xml:space="preserve">When retrieval returns no sufficiently relevant chunk, or the query is classified out-of-scope (FR-SEC-003), the system returns a clear “I don't have a grounded answer for this” response rather than a plausible-sounding but ungrounded one.</w:t>
      </w:r>
    </w:p>
    <w:p>
      <w:pPr>
        <w:pStyle w:val="Heading2"/>
        <w:spacing w:after="160" w:before="360"/>
      </w:pPr>
      <w:r>
        <w:rPr>
          <w:rFonts w:ascii="Cambria" w:cs="Cambria" w:eastAsia="Cambria" w:hAnsi="Cambria"/>
          <w:b/>
          <w:bCs/>
          <w:color w:val="1B3A5C"/>
          <w:sz w:val="26"/>
          <w:szCs w:val="26"/>
        </w:rPr>
        <w:t xml:space="preserve">3.5 Versioning &amp; Amendment Resolution</w:t>
      </w:r>
    </w:p>
    <w:p>
      <w:pPr>
        <w:spacing w:after="100" w:before="260"/>
      </w:pPr>
      <w:r>
        <w:rPr>
          <w:rFonts w:ascii="Consolas" w:cs="Consolas" w:eastAsia="Consolas" w:hAnsi="Consolas"/>
          <w:b/>
          <w:bCs/>
          <w:color w:val="1B3A5C"/>
          <w:sz w:val="21"/>
          <w:szCs w:val="21"/>
        </w:rPr>
        <w:t xml:space="preserve">FR-VER-001  </w:t>
      </w:r>
      <w:r>
        <w:rPr>
          <w:rFonts w:ascii="Cambria" w:cs="Cambria" w:eastAsia="Cambria" w:hAnsi="Cambria"/>
          <w:b/>
          <w:bCs/>
          <w:color w:val="1B3A5C"/>
          <w:sz w:val="22"/>
          <w:szCs w:val="22"/>
        </w:rPr>
        <w:t xml:space="preserve">Explicit default version policy</w:t>
      </w:r>
      <w:r>
        <w:rPr>
          <w:b/>
          <w:bCs/>
          <w:color w:val="9B3A3A"/>
          <w:sz w:val="17"/>
          <w:szCs w:val="17"/>
        </w:rPr>
        <w:t xml:space="preserve">   [MUST]</w:t>
      </w:r>
    </w:p>
    <w:p>
      <w:pPr>
        <w:spacing w:after="160" w:before="0" w:line="276"/>
        <w:jc w:val="left"/>
      </w:pPr>
      <w:r>
        <w:rPr>
          <w:rFonts w:ascii="Calibri" w:cs="Calibri" w:eastAsia="Calibri" w:hAnsi="Calibri"/>
          <w:color w:val="1F2937"/>
          <w:sz w:val="22"/>
          <w:szCs w:val="22"/>
        </w:rPr>
        <w:t xml:space="preserve">The system has one documented default behavior when a section has been amended multiple times: answer using the latest version unless the user specifies an as-of date. This decision is stated explicitly in the product (e.g. in the answer's metadata), not left ambiguous.</w:t>
      </w:r>
    </w:p>
    <w:p>
      <w:pPr>
        <w:spacing w:after="100" w:before="260"/>
      </w:pPr>
      <w:r>
        <w:rPr>
          <w:rFonts w:ascii="Consolas" w:cs="Consolas" w:eastAsia="Consolas" w:hAnsi="Consolas"/>
          <w:b/>
          <w:bCs/>
          <w:color w:val="1B3A5C"/>
          <w:sz w:val="21"/>
          <w:szCs w:val="21"/>
        </w:rPr>
        <w:t xml:space="preserve">FR-VER-002  </w:t>
      </w:r>
      <w:r>
        <w:rPr>
          <w:rFonts w:ascii="Cambria" w:cs="Cambria" w:eastAsia="Cambria" w:hAnsi="Cambria"/>
          <w:b/>
          <w:bCs/>
          <w:color w:val="1B3A5C"/>
          <w:sz w:val="22"/>
          <w:szCs w:val="22"/>
        </w:rPr>
        <w:t xml:space="preserve">As-of-date query mode</w:t>
      </w:r>
      <w:r>
        <w:rPr>
          <w:b/>
          <w:bCs/>
          <w:color w:val="B45309"/>
          <w:sz w:val="17"/>
          <w:szCs w:val="17"/>
        </w:rPr>
        <w:t xml:space="preserve">   [SHOULD]</w:t>
      </w:r>
    </w:p>
    <w:p>
      <w:pPr>
        <w:spacing w:after="160" w:before="0" w:line="276"/>
        <w:jc w:val="left"/>
      </w:pPr>
      <w:r>
        <w:rPr>
          <w:rFonts w:ascii="Calibri" w:cs="Calibri" w:eastAsia="Calibri" w:hAnsi="Calibri"/>
          <w:color w:val="1F2937"/>
          <w:sz w:val="22"/>
          <w:szCs w:val="22"/>
        </w:rPr>
        <w:t xml:space="preserve">A user (or the API) may request the law as it stood on a specific date; the version resolver selects the section version whose effective range covers that date.</w:t>
      </w:r>
    </w:p>
    <w:p>
      <w:pPr>
        <w:spacing w:after="100" w:before="260"/>
      </w:pPr>
      <w:r>
        <w:rPr>
          <w:rFonts w:ascii="Consolas" w:cs="Consolas" w:eastAsia="Consolas" w:hAnsi="Consolas"/>
          <w:b/>
          <w:bCs/>
          <w:color w:val="1B3A5C"/>
          <w:sz w:val="21"/>
          <w:szCs w:val="21"/>
        </w:rPr>
        <w:t xml:space="preserve">FR-VER-003  </w:t>
      </w:r>
      <w:r>
        <w:rPr>
          <w:rFonts w:ascii="Cambria" w:cs="Cambria" w:eastAsia="Cambria" w:hAnsi="Cambria"/>
          <w:b/>
          <w:bCs/>
          <w:color w:val="1B3A5C"/>
          <w:sz w:val="22"/>
          <w:szCs w:val="22"/>
        </w:rPr>
        <w:t xml:space="preserve">Repealed-to-replacement mapping (IPC → BNS flagship feature)</w:t>
      </w:r>
      <w:r>
        <w:rPr>
          <w:b/>
          <w:bCs/>
          <w:color w:val="9B3A3A"/>
          <w:sz w:val="17"/>
          <w:szCs w:val="17"/>
        </w:rPr>
        <w:t xml:space="preserve">   [MUST]</w:t>
      </w:r>
    </w:p>
    <w:p>
      <w:pPr>
        <w:spacing w:after="160" w:before="0" w:line="276"/>
        <w:jc w:val="left"/>
      </w:pPr>
      <w:r>
        <w:rPr>
          <w:rFonts w:ascii="Calibri" w:cs="Calibri" w:eastAsia="Calibri" w:hAnsi="Calibri"/>
          <w:color w:val="1F2937"/>
          <w:sz w:val="22"/>
          <w:szCs w:val="22"/>
        </w:rPr>
        <w:t xml:space="preserve">A dedicated section_mappings table links repealed provisions to their replacements — the flagship real-world case being the 1 July 2024 transition from the Indian Penal Code, Code of Criminal Procedure, and Indian Evidence Act to the BNS, BNSS, and BSA respectively (e.g. former IPC Section 302 → BNS Section 103). A query referencing an old section number is answered using the mapping, with both the old and new reference shown, and the retrospective-application rule (offences committed before 1 July 2024 are tried under the old law) surfaced rather than silently ignored.</w:t>
      </w:r>
    </w:p>
    <w:tbl>
      <w:tblPr>
        <w:tblW w:type="pct" w:w="100%"/>
        <w:tblBorders>
          <w:top w:val="single" w:color="DCEEE2" w:sz="4"/>
          <w:left w:val="single" w:color="1E7B45" w:sz="36"/>
          <w:bottom w:val="single" w:color="DCEEE2" w:sz="4"/>
          <w:right w:val="single" w:color="DCEEE2" w:sz="4"/>
          <w:insideH w:val="none" w:color="FFFFFF" w:sz="0"/>
          <w:insideV w:val="none" w:color="FFFFFF" w:sz="0"/>
        </w:tblBorders>
      </w:tblPr>
      <w:tblGrid>
        <w:gridCol w:w="100"/>
      </w:tblGrid>
      <w:tr>
        <w:tc>
          <w:tcPr>
            <w:shd w:fill="DCEEE2" w:val="clear"/>
            <w:tcMar>
              <w:top w:type="dxa" w:w="120"/>
              <w:left w:type="dxa" w:w="180"/>
              <w:bottom w:type="dxa" w:w="120"/>
              <w:right w:type="dxa" w:w="180"/>
            </w:tcMar>
          </w:tcPr>
          <w:p>
            <w:pPr>
              <w:spacing w:after="60"/>
            </w:pPr>
            <w:r>
              <w:rPr>
                <w:rFonts w:ascii="Calibri" w:cs="Calibri" w:eastAsia="Calibri" w:hAnsi="Calibri"/>
                <w:b/>
                <w:bCs/>
                <w:color w:val="122840"/>
                <w:sz w:val="19"/>
                <w:szCs w:val="19"/>
              </w:rPr>
              <w:t xml:space="preserve">FIX APPLIED — Why this is a MUST, not a stretch goal</w:t>
            </w:r>
          </w:p>
          <w:p>
            <w:pPr>
              <w:spacing w:after="0"/>
            </w:pPr>
            <w:r>
              <w:rPr>
                <w:rFonts w:ascii="Calibri" w:cs="Calibri" w:eastAsia="Calibri" w:hAnsi="Calibri"/>
                <w:color w:val="1F2937"/>
                <w:sz w:val="19"/>
                <w:szCs w:val="19"/>
              </w:rPr>
              <w:t xml:space="preserve">This transition is the best available real-world stress test of the versioning design, and none of the reviewed competitor products foreground it. It is both a genuine user need (millions of existing references to IPC sections in circulation) and the single clearest technical differentiator available at MVP scope.</w:t>
            </w:r>
          </w:p>
        </w:tc>
      </w:tr>
    </w:tbl>
    <w:p>
      <w:pPr>
        <w:spacing w:after="160"/>
      </w:pPr>
    </w:p>
    <w:p>
      <w:pPr>
        <w:pStyle w:val="Heading2"/>
        <w:spacing w:after="160" w:before="360"/>
      </w:pPr>
      <w:r>
        <w:rPr>
          <w:rFonts w:ascii="Cambria" w:cs="Cambria" w:eastAsia="Cambria" w:hAnsi="Cambria"/>
          <w:b/>
          <w:bCs/>
          <w:color w:val="1B3A5C"/>
          <w:sz w:val="26"/>
          <w:szCs w:val="26"/>
        </w:rPr>
        <w:t xml:space="preserve">3.6 Faithfulness &amp; Hallucination Guardrails</w:t>
      </w:r>
    </w:p>
    <w:p>
      <w:pPr>
        <w:spacing w:after="100" w:before="260"/>
      </w:pPr>
      <w:r>
        <w:rPr>
          <w:rFonts w:ascii="Consolas" w:cs="Consolas" w:eastAsia="Consolas" w:hAnsi="Consolas"/>
          <w:b/>
          <w:bCs/>
          <w:color w:val="1B3A5C"/>
          <w:sz w:val="21"/>
          <w:szCs w:val="21"/>
        </w:rPr>
        <w:t xml:space="preserve">FR-FAITH-001  </w:t>
      </w:r>
      <w:r>
        <w:rPr>
          <w:rFonts w:ascii="Cambria" w:cs="Cambria" w:eastAsia="Cambria" w:hAnsi="Cambria"/>
          <w:b/>
          <w:bCs/>
          <w:color w:val="1B3A5C"/>
          <w:sz w:val="22"/>
          <w:szCs w:val="22"/>
        </w:rPr>
        <w:t xml:space="preserve">Second-pass faithfulness check</w:t>
      </w:r>
      <w:r>
        <w:rPr>
          <w:b/>
          <w:bCs/>
          <w:color w:val="9B3A3A"/>
          <w:sz w:val="17"/>
          <w:szCs w:val="17"/>
        </w:rPr>
        <w:t xml:space="preserve">   [MUST]</w:t>
      </w:r>
    </w:p>
    <w:p>
      <w:pPr>
        <w:spacing w:after="160" w:before="0" w:line="276"/>
        <w:jc w:val="left"/>
      </w:pPr>
      <w:r>
        <w:rPr>
          <w:rFonts w:ascii="Calibri" w:cs="Calibri" w:eastAsia="Calibri" w:hAnsi="Calibri"/>
          <w:color w:val="1F2937"/>
          <w:sz w:val="22"/>
          <w:szCs w:val="22"/>
        </w:rPr>
        <w:t xml:space="preserve">Before an answer is returned, a lightweight entailment check (or second LLM pass) verifies that each cited claim is actually supported by its cited chunk. Answers failing the check are revised or replaced with the low-confidence fallback (FR-GEN-005) rather than shown as-is.</w:t>
      </w:r>
    </w:p>
    <w:p>
      <w:pPr>
        <w:spacing w:after="100" w:before="260"/>
      </w:pPr>
      <w:r>
        <w:rPr>
          <w:rFonts w:ascii="Consolas" w:cs="Consolas" w:eastAsia="Consolas" w:hAnsi="Consolas"/>
          <w:b/>
          <w:bCs/>
          <w:color w:val="1B3A5C"/>
          <w:sz w:val="21"/>
          <w:szCs w:val="21"/>
        </w:rPr>
        <w:t xml:space="preserve">FR-FAITH-002  </w:t>
      </w:r>
      <w:r>
        <w:rPr>
          <w:rFonts w:ascii="Cambria" w:cs="Cambria" w:eastAsia="Cambria" w:hAnsi="Cambria"/>
          <w:b/>
          <w:bCs/>
          <w:color w:val="1B3A5C"/>
          <w:sz w:val="22"/>
          <w:szCs w:val="22"/>
        </w:rPr>
        <w:t xml:space="preserve">Faithfulness reported as a metric, not just a gate</w:t>
      </w:r>
      <w:r>
        <w:rPr>
          <w:b/>
          <w:bCs/>
          <w:color w:val="9B3A3A"/>
          <w:sz w:val="17"/>
          <w:szCs w:val="17"/>
        </w:rPr>
        <w:t xml:space="preserve">   [MUST]</w:t>
      </w:r>
    </w:p>
    <w:p>
      <w:pPr>
        <w:spacing w:after="160" w:before="0" w:line="276"/>
        <w:jc w:val="left"/>
      </w:pPr>
      <w:r>
        <w:rPr>
          <w:rFonts w:ascii="Calibri" w:cs="Calibri" w:eastAsia="Calibri" w:hAnsi="Calibri"/>
          <w:color w:val="1F2937"/>
          <w:sz w:val="22"/>
          <w:szCs w:val="22"/>
        </w:rPr>
        <w:t xml:space="preserve">Faithfulness pass/fail is logged per query so it becomes an aggregate, trackable quality metric (target in Section 6), not only a silent per-answer gate.</w:t>
      </w:r>
    </w:p>
    <w:p>
      <w:pPr>
        <w:pStyle w:val="Heading2"/>
        <w:spacing w:after="160" w:before="360"/>
      </w:pPr>
      <w:r>
        <w:rPr>
          <w:rFonts w:ascii="Cambria" w:cs="Cambria" w:eastAsia="Cambria" w:hAnsi="Cambria"/>
          <w:b/>
          <w:bCs/>
          <w:color w:val="1B3A5C"/>
          <w:sz w:val="26"/>
          <w:szCs w:val="26"/>
        </w:rPr>
        <w:t xml:space="preserve">3.7 User-Facing Chat / Search Interface</w:t>
      </w:r>
    </w:p>
    <w:p>
      <w:pPr>
        <w:spacing w:after="100" w:before="260"/>
      </w:pPr>
      <w:r>
        <w:rPr>
          <w:rFonts w:ascii="Consolas" w:cs="Consolas" w:eastAsia="Consolas" w:hAnsi="Consolas"/>
          <w:b/>
          <w:bCs/>
          <w:color w:val="1B3A5C"/>
          <w:sz w:val="21"/>
          <w:szCs w:val="21"/>
        </w:rPr>
        <w:t xml:space="preserve">FR-UI-001  </w:t>
      </w:r>
      <w:r>
        <w:rPr>
          <w:rFonts w:ascii="Cambria" w:cs="Cambria" w:eastAsia="Cambria" w:hAnsi="Cambria"/>
          <w:b/>
          <w:bCs/>
          <w:color w:val="1B3A5C"/>
          <w:sz w:val="22"/>
          <w:szCs w:val="22"/>
        </w:rPr>
        <w:t xml:space="preserve">Streaming conversational interface</w:t>
      </w:r>
      <w:r>
        <w:rPr>
          <w:b/>
          <w:bCs/>
          <w:color w:val="9B3A3A"/>
          <w:sz w:val="17"/>
          <w:szCs w:val="17"/>
        </w:rPr>
        <w:t xml:space="preserve">   [MUST]</w:t>
      </w:r>
    </w:p>
    <w:p>
      <w:pPr>
        <w:spacing w:after="160" w:before="0" w:line="276"/>
        <w:jc w:val="left"/>
      </w:pPr>
      <w:r>
        <w:rPr>
          <w:rFonts w:ascii="Calibri" w:cs="Calibri" w:eastAsia="Calibri" w:hAnsi="Calibri"/>
          <w:color w:val="1F2937"/>
          <w:sz w:val="22"/>
          <w:szCs w:val="22"/>
        </w:rPr>
        <w:t xml:space="preserve">A single, focused chat interface (not a multi-page app) accepts natural-language legal questions and streams the answer as it generates.</w:t>
      </w:r>
    </w:p>
    <w:p>
      <w:pPr>
        <w:spacing w:after="100" w:before="260"/>
      </w:pPr>
      <w:r>
        <w:rPr>
          <w:rFonts w:ascii="Consolas" w:cs="Consolas" w:eastAsia="Consolas" w:hAnsi="Consolas"/>
          <w:b/>
          <w:bCs/>
          <w:color w:val="1B3A5C"/>
          <w:sz w:val="21"/>
          <w:szCs w:val="21"/>
        </w:rPr>
        <w:t xml:space="preserve">FR-UI-002  </w:t>
      </w:r>
      <w:r>
        <w:rPr>
          <w:rFonts w:ascii="Cambria" w:cs="Cambria" w:eastAsia="Cambria" w:hAnsi="Cambria"/>
          <w:b/>
          <w:bCs/>
          <w:color w:val="1B3A5C"/>
          <w:sz w:val="22"/>
          <w:szCs w:val="22"/>
        </w:rPr>
        <w:t xml:space="preserve">Citation viewer</w:t>
      </w:r>
      <w:r>
        <w:rPr>
          <w:b/>
          <w:bCs/>
          <w:color w:val="9B3A3A"/>
          <w:sz w:val="17"/>
          <w:szCs w:val="17"/>
        </w:rPr>
        <w:t xml:space="preserve">   [MUST]</w:t>
      </w:r>
    </w:p>
    <w:p>
      <w:pPr>
        <w:spacing w:after="160" w:before="0" w:line="276"/>
        <w:jc w:val="left"/>
      </w:pPr>
      <w:r>
        <w:rPr>
          <w:rFonts w:ascii="Calibri" w:cs="Calibri" w:eastAsia="Calibri" w:hAnsi="Calibri"/>
          <w:color w:val="1F2937"/>
          <w:sz w:val="22"/>
          <w:szCs w:val="22"/>
        </w:rPr>
        <w:t xml:space="preserve">Clicking any inline citation opens a panel showing the exact source excerpt, its full metadata (Act, Section, effective date, source URL), and a direct link to the official source document.</w:t>
      </w:r>
    </w:p>
    <w:p>
      <w:pPr>
        <w:spacing w:after="100" w:before="260"/>
      </w:pPr>
      <w:r>
        <w:rPr>
          <w:rFonts w:ascii="Consolas" w:cs="Consolas" w:eastAsia="Consolas" w:hAnsi="Consolas"/>
          <w:b/>
          <w:bCs/>
          <w:color w:val="1B3A5C"/>
          <w:sz w:val="21"/>
          <w:szCs w:val="21"/>
        </w:rPr>
        <w:t xml:space="preserve">FR-UI-003  </w:t>
      </w:r>
      <w:r>
        <w:rPr>
          <w:rFonts w:ascii="Cambria" w:cs="Cambria" w:eastAsia="Cambria" w:hAnsi="Cambria"/>
          <w:b/>
          <w:bCs/>
          <w:color w:val="1B3A5C"/>
          <w:sz w:val="22"/>
          <w:szCs w:val="22"/>
        </w:rPr>
        <w:t xml:space="preserve">Search filters</w:t>
      </w:r>
      <w:r>
        <w:rPr>
          <w:b/>
          <w:bCs/>
          <w:color w:val="0E7C7B"/>
          <w:sz w:val="17"/>
          <w:szCs w:val="17"/>
        </w:rPr>
        <w:t xml:space="preserve">   [COULD]</w:t>
      </w:r>
    </w:p>
    <w:p>
      <w:pPr>
        <w:spacing w:after="160" w:before="0" w:line="276"/>
        <w:jc w:val="left"/>
      </w:pPr>
      <w:r>
        <w:rPr>
          <w:rFonts w:ascii="Calibri" w:cs="Calibri" w:eastAsia="Calibri" w:hAnsi="Calibri"/>
          <w:color w:val="1F2937"/>
          <w:sz w:val="22"/>
          <w:szCs w:val="22"/>
        </w:rPr>
        <w:t xml:space="preserve">Optional filters (jurisdiction, document type, date range) narrow retrieval scope; not required for MVP given the Phase 1 corpus is small enough that filters add limited value.</w:t>
      </w:r>
    </w:p>
    <w:p>
      <w:pPr>
        <w:pStyle w:val="Heading2"/>
        <w:spacing w:after="160" w:before="360"/>
      </w:pPr>
      <w:r>
        <w:rPr>
          <w:rFonts w:ascii="Cambria" w:cs="Cambria" w:eastAsia="Cambria" w:hAnsi="Cambria"/>
          <w:b/>
          <w:bCs/>
          <w:color w:val="1B3A5C"/>
          <w:sz w:val="26"/>
          <w:szCs w:val="26"/>
        </w:rPr>
        <w:t xml:space="preserve">3.8 Authentication &amp; User Management</w:t>
      </w:r>
    </w:p>
    <w:p>
      <w:pPr>
        <w:spacing w:after="100" w:before="260"/>
      </w:pPr>
      <w:r>
        <w:rPr>
          <w:rFonts w:ascii="Consolas" w:cs="Consolas" w:eastAsia="Consolas" w:hAnsi="Consolas"/>
          <w:b/>
          <w:bCs/>
          <w:color w:val="1B3A5C"/>
          <w:sz w:val="21"/>
          <w:szCs w:val="21"/>
        </w:rPr>
        <w:t xml:space="preserve">FR-AUTH-001  </w:t>
      </w:r>
      <w:r>
        <w:rPr>
          <w:rFonts w:ascii="Cambria" w:cs="Cambria" w:eastAsia="Cambria" w:hAnsi="Cambria"/>
          <w:b/>
          <w:bCs/>
          <w:color w:val="1B3A5C"/>
          <w:sz w:val="22"/>
          <w:szCs w:val="22"/>
        </w:rPr>
        <w:t xml:space="preserve">Lightweight account system</w:t>
      </w:r>
      <w:r>
        <w:rPr>
          <w:b/>
          <w:bCs/>
          <w:color w:val="B45309"/>
          <w:sz w:val="17"/>
          <w:szCs w:val="17"/>
        </w:rPr>
        <w:t xml:space="preserve">   [SHOULD]</w:t>
      </w:r>
    </w:p>
    <w:p>
      <w:pPr>
        <w:spacing w:after="160" w:before="0" w:line="276"/>
        <w:jc w:val="left"/>
      </w:pPr>
      <w:r>
        <w:rPr>
          <w:rFonts w:ascii="Calibri" w:cs="Calibri" w:eastAsia="Calibri" w:hAnsi="Calibri"/>
          <w:color w:val="1F2937"/>
          <w:sz w:val="22"/>
          <w:szCs w:val="22"/>
        </w:rPr>
        <w:t xml:space="preserve">Email-based sign-in sufficient to persist conversation history and apply per-user rate limits; full OAuth/SSO is deferred (WON'T at MVP) unless the team confirms real demand.</w:t>
      </w:r>
    </w:p>
    <w:p>
      <w:pPr>
        <w:pStyle w:val="Heading2"/>
        <w:spacing w:after="160" w:before="360"/>
      </w:pPr>
      <w:r>
        <w:rPr>
          <w:rFonts w:ascii="Cambria" w:cs="Cambria" w:eastAsia="Cambria" w:hAnsi="Cambria"/>
          <w:b/>
          <w:bCs/>
          <w:color w:val="1B3A5C"/>
          <w:sz w:val="26"/>
          <w:szCs w:val="26"/>
        </w:rPr>
        <w:t xml:space="preserve">3.9 Admin Panel / Content Management</w:t>
      </w:r>
    </w:p>
    <w:p>
      <w:pPr>
        <w:spacing w:after="100" w:before="260"/>
      </w:pPr>
      <w:r>
        <w:rPr>
          <w:rFonts w:ascii="Consolas" w:cs="Consolas" w:eastAsia="Consolas" w:hAnsi="Consolas"/>
          <w:b/>
          <w:bCs/>
          <w:color w:val="1B3A5C"/>
          <w:sz w:val="21"/>
          <w:szCs w:val="21"/>
        </w:rPr>
        <w:t xml:space="preserve">FR-ADMIN-001  </w:t>
      </w:r>
      <w:r>
        <w:rPr>
          <w:rFonts w:ascii="Cambria" w:cs="Cambria" w:eastAsia="Cambria" w:hAnsi="Cambria"/>
          <w:b/>
          <w:bCs/>
          <w:color w:val="1B3A5C"/>
          <w:sz w:val="22"/>
          <w:szCs w:val="22"/>
        </w:rPr>
        <w:t xml:space="preserve">Source &amp; ingestion-job visibility</w:t>
      </w:r>
      <w:r>
        <w:rPr>
          <w:b/>
          <w:bCs/>
          <w:color w:val="B45309"/>
          <w:sz w:val="17"/>
          <w:szCs w:val="17"/>
        </w:rPr>
        <w:t xml:space="preserve">   [SHOULD]</w:t>
      </w:r>
    </w:p>
    <w:p>
      <w:pPr>
        <w:spacing w:after="160" w:before="0" w:line="276"/>
        <w:jc w:val="left"/>
      </w:pPr>
      <w:r>
        <w:rPr>
          <w:rFonts w:ascii="Calibri" w:cs="Calibri" w:eastAsia="Calibri" w:hAnsi="Calibri"/>
          <w:color w:val="1F2937"/>
          <w:sz w:val="22"/>
          <w:szCs w:val="22"/>
        </w:rPr>
        <w:t xml:space="preserve">From Phase 3, an internal admin view lists ingestion jobs, their status, and source_registry entries, so onboarding a new law (FR-ING-005) is operable without direct database access.</w:t>
      </w:r>
    </w:p>
    <w:p>
      <w:pPr>
        <w:spacing w:after="100" w:before="260"/>
      </w:pPr>
      <w:r>
        <w:rPr>
          <w:rFonts w:ascii="Consolas" w:cs="Consolas" w:eastAsia="Consolas" w:hAnsi="Consolas"/>
          <w:b/>
          <w:bCs/>
          <w:color w:val="1B3A5C"/>
          <w:sz w:val="21"/>
          <w:szCs w:val="21"/>
        </w:rPr>
        <w:t xml:space="preserve">FR-ADMIN-002  </w:t>
      </w:r>
      <w:r>
        <w:rPr>
          <w:rFonts w:ascii="Cambria" w:cs="Cambria" w:eastAsia="Cambria" w:hAnsi="Cambria"/>
          <w:b/>
          <w:bCs/>
          <w:color w:val="1B3A5C"/>
          <w:sz w:val="22"/>
          <w:szCs w:val="22"/>
        </w:rPr>
        <w:t xml:space="preserve">Flagged-answer review queue</w:t>
      </w:r>
      <w:r>
        <w:rPr>
          <w:b/>
          <w:bCs/>
          <w:color w:val="B45309"/>
          <w:sz w:val="17"/>
          <w:szCs w:val="17"/>
        </w:rPr>
        <w:t xml:space="preserve">   [SHOULD]</w:t>
      </w:r>
    </w:p>
    <w:p>
      <w:pPr>
        <w:spacing w:after="160" w:before="0" w:line="276"/>
        <w:jc w:val="left"/>
      </w:pPr>
      <w:r>
        <w:rPr>
          <w:rFonts w:ascii="Calibri" w:cs="Calibri" w:eastAsia="Calibri" w:hAnsi="Calibri"/>
          <w:color w:val="1F2937"/>
          <w:sz w:val="22"/>
          <w:szCs w:val="22"/>
        </w:rPr>
        <w:t xml:space="preserve">Answers that fail the faithfulness check (FR-FAITH-001) or receive negative user feedback are queryable in an internal review queue.</w:t>
      </w:r>
    </w:p>
    <w:p>
      <w:pPr>
        <w:pStyle w:val="Heading2"/>
        <w:spacing w:after="160" w:before="360"/>
      </w:pPr>
      <w:r>
        <w:rPr>
          <w:rFonts w:ascii="Cambria" w:cs="Cambria" w:eastAsia="Cambria" w:hAnsi="Cambria"/>
          <w:b/>
          <w:bCs/>
          <w:color w:val="1B3A5C"/>
          <w:sz w:val="26"/>
          <w:szCs w:val="26"/>
        </w:rPr>
        <w:t xml:space="preserve">3.10 Feedback &amp; Analytics</w:t>
      </w:r>
    </w:p>
    <w:p>
      <w:pPr>
        <w:spacing w:after="100" w:before="260"/>
      </w:pPr>
      <w:r>
        <w:rPr>
          <w:rFonts w:ascii="Consolas" w:cs="Consolas" w:eastAsia="Consolas" w:hAnsi="Consolas"/>
          <w:b/>
          <w:bCs/>
          <w:color w:val="1B3A5C"/>
          <w:sz w:val="21"/>
          <w:szCs w:val="21"/>
        </w:rPr>
        <w:t xml:space="preserve">FR-FEED-001  </w:t>
      </w:r>
      <w:r>
        <w:rPr>
          <w:rFonts w:ascii="Cambria" w:cs="Cambria" w:eastAsia="Cambria" w:hAnsi="Cambria"/>
          <w:b/>
          <w:bCs/>
          <w:color w:val="1B3A5C"/>
          <w:sz w:val="22"/>
          <w:szCs w:val="22"/>
        </w:rPr>
        <w:t xml:space="preserve">Per-answer feedback capture</w:t>
      </w:r>
      <w:r>
        <w:rPr>
          <w:b/>
          <w:bCs/>
          <w:color w:val="B45309"/>
          <w:sz w:val="17"/>
          <w:szCs w:val="17"/>
        </w:rPr>
        <w:t xml:space="preserve">   [SHOULD]</w:t>
      </w:r>
    </w:p>
    <w:p>
      <w:pPr>
        <w:spacing w:after="160" w:before="0" w:line="276"/>
        <w:jc w:val="left"/>
      </w:pPr>
      <w:r>
        <w:rPr>
          <w:rFonts w:ascii="Calibri" w:cs="Calibri" w:eastAsia="Calibri" w:hAnsi="Calibri"/>
          <w:color w:val="1F2937"/>
          <w:sz w:val="22"/>
          <w:szCs w:val="22"/>
        </w:rPr>
        <w:t xml:space="preserve">A lightweight thumbs-up/down plus optional free-text comment is attached to each answer and stored against the query, retrieved chunks, and faithfulness result — this is the raw material for the evaluation set's growth over time.</w:t>
      </w:r>
    </w:p>
    <w:p>
      <w:pPr>
        <w:pStyle w:val="Heading2"/>
        <w:spacing w:after="160" w:before="360"/>
      </w:pPr>
      <w:r>
        <w:rPr>
          <w:rFonts w:ascii="Cambria" w:cs="Cambria" w:eastAsia="Cambria" w:hAnsi="Cambria"/>
          <w:b/>
          <w:bCs/>
          <w:color w:val="1B3A5C"/>
          <w:sz w:val="26"/>
          <w:szCs w:val="26"/>
        </w:rPr>
        <w:t xml:space="preserve">3.11 Safety, Abuse Prevention &amp; Rate Limiting</w:t>
      </w:r>
    </w:p>
    <w:p>
      <w:pPr>
        <w:spacing w:after="100" w:before="260"/>
      </w:pPr>
      <w:r>
        <w:rPr>
          <w:rFonts w:ascii="Consolas" w:cs="Consolas" w:eastAsia="Consolas" w:hAnsi="Consolas"/>
          <w:b/>
          <w:bCs/>
          <w:color w:val="1B3A5C"/>
          <w:sz w:val="21"/>
          <w:szCs w:val="21"/>
        </w:rPr>
        <w:t xml:space="preserve">FR-SEC-001  </w:t>
      </w:r>
      <w:r>
        <w:rPr>
          <w:rFonts w:ascii="Cambria" w:cs="Cambria" w:eastAsia="Cambria" w:hAnsi="Cambria"/>
          <w:b/>
          <w:bCs/>
          <w:color w:val="1B3A5C"/>
          <w:sz w:val="22"/>
          <w:szCs w:val="22"/>
        </w:rPr>
        <w:t xml:space="preserve">Rate limiting from day one</w:t>
      </w:r>
      <w:r>
        <w:rPr>
          <w:b/>
          <w:bCs/>
          <w:color w:val="9B3A3A"/>
          <w:sz w:val="17"/>
          <w:szCs w:val="17"/>
        </w:rPr>
        <w:t xml:space="preserve">   [MUST]</w:t>
      </w:r>
    </w:p>
    <w:p>
      <w:pPr>
        <w:spacing w:after="160" w:before="0" w:line="276"/>
        <w:jc w:val="left"/>
      </w:pPr>
      <w:r>
        <w:rPr>
          <w:rFonts w:ascii="Calibri" w:cs="Calibri" w:eastAsia="Calibri" w:hAnsi="Calibri"/>
          <w:color w:val="1F2937"/>
          <w:sz w:val="22"/>
          <w:szCs w:val="22"/>
        </w:rPr>
        <w:t xml:space="preserve">Requests are rate-limited by IP and by session/user from the Phase 1 production launch, not added retroactively after an incident.</w:t>
      </w:r>
    </w:p>
    <w:p>
      <w:pPr>
        <w:spacing w:after="100" w:before="260"/>
      </w:pPr>
      <w:r>
        <w:rPr>
          <w:rFonts w:ascii="Consolas" w:cs="Consolas" w:eastAsia="Consolas" w:hAnsi="Consolas"/>
          <w:b/>
          <w:bCs/>
          <w:color w:val="1B3A5C"/>
          <w:sz w:val="21"/>
          <w:szCs w:val="21"/>
        </w:rPr>
        <w:t xml:space="preserve">FR-SEC-002  </w:t>
      </w:r>
      <w:r>
        <w:rPr>
          <w:rFonts w:ascii="Cambria" w:cs="Cambria" w:eastAsia="Cambria" w:hAnsi="Cambria"/>
          <w:b/>
          <w:bCs/>
          <w:color w:val="1B3A5C"/>
          <w:sz w:val="22"/>
          <w:szCs w:val="22"/>
        </w:rPr>
        <w:t xml:space="preserve">Prompt-injection resistance</w:t>
      </w:r>
      <w:r>
        <w:rPr>
          <w:b/>
          <w:bCs/>
          <w:color w:val="9B3A3A"/>
          <w:sz w:val="17"/>
          <w:szCs w:val="17"/>
        </w:rPr>
        <w:t xml:space="preserve">   [MUST]</w:t>
      </w:r>
    </w:p>
    <w:p>
      <w:pPr>
        <w:spacing w:after="160" w:before="0" w:line="276"/>
        <w:jc w:val="left"/>
      </w:pPr>
      <w:r>
        <w:rPr>
          <w:rFonts w:ascii="Calibri" w:cs="Calibri" w:eastAsia="Calibri" w:hAnsi="Calibri"/>
          <w:color w:val="1F2937"/>
          <w:sz w:val="22"/>
          <w:szCs w:val="22"/>
        </w:rPr>
        <w:t xml:space="preserve">User input cannot override the system prompt's grounding or citation-format requirements; adversarial inputs attempting to elicit ungrounded claims or fabricated case law are handled by the faithfulness check (FR-FAITH-001) and input classification (FR-SEC-003).</w:t>
      </w:r>
    </w:p>
    <w:p>
      <w:pPr>
        <w:spacing w:after="100" w:before="260"/>
      </w:pPr>
      <w:r>
        <w:rPr>
          <w:rFonts w:ascii="Consolas" w:cs="Consolas" w:eastAsia="Consolas" w:hAnsi="Consolas"/>
          <w:b/>
          <w:bCs/>
          <w:color w:val="1B3A5C"/>
          <w:sz w:val="21"/>
          <w:szCs w:val="21"/>
        </w:rPr>
        <w:t xml:space="preserve">FR-SEC-003  </w:t>
      </w:r>
      <w:r>
        <w:rPr>
          <w:rFonts w:ascii="Cambria" w:cs="Cambria" w:eastAsia="Cambria" w:hAnsi="Cambria"/>
          <w:b/>
          <w:bCs/>
          <w:color w:val="1B3A5C"/>
          <w:sz w:val="22"/>
          <w:szCs w:val="22"/>
        </w:rPr>
        <w:t xml:space="preserve">In-scope / safe-to-answer classification</w:t>
      </w:r>
      <w:r>
        <w:rPr>
          <w:b/>
          <w:bCs/>
          <w:color w:val="9B3A3A"/>
          <w:sz w:val="17"/>
          <w:szCs w:val="17"/>
        </w:rPr>
        <w:t xml:space="preserve">   [MUST]</w:t>
      </w:r>
    </w:p>
    <w:p>
      <w:pPr>
        <w:spacing w:after="160" w:before="0" w:line="276"/>
        <w:jc w:val="left"/>
      </w:pPr>
      <w:r>
        <w:rPr>
          <w:rFonts w:ascii="Calibri" w:cs="Calibri" w:eastAsia="Calibri" w:hAnsi="Calibri"/>
          <w:color w:val="1F2937"/>
          <w:sz w:val="22"/>
          <w:szCs w:val="22"/>
        </w:rPr>
        <w:t xml:space="preserve">A lightweight classifier runs before the retrieval pipeline to flag out-of-scope queries (non-legal, or outside the current corpus's jurisdiction/topic) and unsafe queries, before spending retrieval or generation budget on them.</w:t>
      </w:r>
    </w:p>
    <w:p>
      <w:pPr>
        <w:spacing w:after="100" w:before="260"/>
      </w:pPr>
      <w:r>
        <w:rPr>
          <w:rFonts w:ascii="Consolas" w:cs="Consolas" w:eastAsia="Consolas" w:hAnsi="Consolas"/>
          <w:b/>
          <w:bCs/>
          <w:color w:val="1B3A5C"/>
          <w:sz w:val="21"/>
          <w:szCs w:val="21"/>
        </w:rPr>
        <w:t xml:space="preserve">FR-SEC-004  </w:t>
      </w:r>
      <w:r>
        <w:rPr>
          <w:rFonts w:ascii="Cambria" w:cs="Cambria" w:eastAsia="Cambria" w:hAnsi="Cambria"/>
          <w:b/>
          <w:bCs/>
          <w:color w:val="1B3A5C"/>
          <w:sz w:val="22"/>
          <w:szCs w:val="22"/>
        </w:rPr>
        <w:t xml:space="preserve">Disclaimer and refusal on high-stakes queries</w:t>
      </w:r>
      <w:r>
        <w:rPr>
          <w:b/>
          <w:bCs/>
          <w:color w:val="9B3A3A"/>
          <w:sz w:val="17"/>
          <w:szCs w:val="17"/>
        </w:rPr>
        <w:t xml:space="preserve">   [MUST]</w:t>
      </w:r>
    </w:p>
    <w:p>
      <w:pPr>
        <w:spacing w:after="160" w:before="0" w:line="276"/>
        <w:jc w:val="left"/>
      </w:pPr>
      <w:r>
        <w:rPr>
          <w:rFonts w:ascii="Calibri" w:cs="Calibri" w:eastAsia="Calibri" w:hAnsi="Calibri"/>
          <w:color w:val="1F2937"/>
          <w:sz w:val="22"/>
          <w:szCs w:val="22"/>
        </w:rPr>
        <w:t xml:space="preserve">Queries that resemble a request for individualized legal advice or a ready-to-file document (e.g. “write my eviction notice”) receive a disclaimer-qualified, general-information answer rather than a document positioned as ready to use, keeping the product on the correct side of the Advocates Act boundary (Section 2.7).</w:t>
      </w:r>
    </w:p>
    <w:p>
      <w:pPr>
        <w:pStyle w:val="Heading2"/>
        <w:spacing w:after="160" w:before="360"/>
      </w:pPr>
      <w:r>
        <w:rPr>
          <w:rFonts w:ascii="Cambria" w:cs="Cambria" w:eastAsia="Cambria" w:hAnsi="Cambria"/>
          <w:b/>
          <w:bCs/>
          <w:color w:val="1B3A5C"/>
          <w:sz w:val="26"/>
          <w:szCs w:val="26"/>
        </w:rPr>
        <w:t xml:space="preserve">3.12 Evaluation Framework</w:t>
      </w:r>
    </w:p>
    <w:p>
      <w:pPr>
        <w:spacing w:after="100" w:before="260"/>
      </w:pPr>
      <w:r>
        <w:rPr>
          <w:rFonts w:ascii="Consolas" w:cs="Consolas" w:eastAsia="Consolas" w:hAnsi="Consolas"/>
          <w:b/>
          <w:bCs/>
          <w:color w:val="1B3A5C"/>
          <w:sz w:val="21"/>
          <w:szCs w:val="21"/>
        </w:rPr>
        <w:t xml:space="preserve">FR-EVAL-001  </w:t>
      </w:r>
      <w:r>
        <w:rPr>
          <w:rFonts w:ascii="Cambria" w:cs="Cambria" w:eastAsia="Cambria" w:hAnsi="Cambria"/>
          <w:b/>
          <w:bCs/>
          <w:color w:val="1B3A5C"/>
          <w:sz w:val="22"/>
          <w:szCs w:val="22"/>
        </w:rPr>
        <w:t xml:space="preserve">Tiered, hand-labeled evaluation set</w:t>
      </w:r>
      <w:r>
        <w:rPr>
          <w:b/>
          <w:bCs/>
          <w:color w:val="9B3A3A"/>
          <w:sz w:val="17"/>
          <w:szCs w:val="17"/>
        </w:rPr>
        <w:t xml:space="preserve">   [MUST]</w:t>
      </w:r>
    </w:p>
    <w:p>
      <w:pPr>
        <w:spacing w:after="160" w:before="0" w:line="276"/>
        <w:jc w:val="left"/>
      </w:pPr>
      <w:r>
        <w:rPr>
          <w:rFonts w:ascii="Calibri" w:cs="Calibri" w:eastAsia="Calibri" w:hAnsi="Calibri"/>
          <w:color w:val="1F2937"/>
          <w:sz w:val="22"/>
          <w:szCs w:val="22"/>
        </w:rPr>
        <w:t xml:space="preserve">A labeled set of 50–100 questions spanning direct lookup, paraphrased, multi-hop (marked out-of-scope per FR-RET-004), and adversarial/out-of-scope tiers is maintained and run before every production release.</w:t>
      </w:r>
    </w:p>
    <w:p>
      <w:pPr>
        <w:spacing w:after="100" w:before="260"/>
      </w:pPr>
      <w:r>
        <w:rPr>
          <w:rFonts w:ascii="Consolas" w:cs="Consolas" w:eastAsia="Consolas" w:hAnsi="Consolas"/>
          <w:b/>
          <w:bCs/>
          <w:color w:val="1B3A5C"/>
          <w:sz w:val="21"/>
          <w:szCs w:val="21"/>
        </w:rPr>
        <w:t xml:space="preserve">FR-EVAL-002  </w:t>
      </w:r>
      <w:r>
        <w:rPr>
          <w:rFonts w:ascii="Cambria" w:cs="Cambria" w:eastAsia="Cambria" w:hAnsi="Cambria"/>
          <w:b/>
          <w:bCs/>
          <w:color w:val="1B3A5C"/>
          <w:sz w:val="22"/>
          <w:szCs w:val="22"/>
        </w:rPr>
        <w:t xml:space="preserve">BhashaBench-Legal as a secondary knowledge check</w:t>
      </w:r>
      <w:r>
        <w:rPr>
          <w:b/>
          <w:bCs/>
          <w:color w:val="B45309"/>
          <w:sz w:val="17"/>
          <w:szCs w:val="17"/>
        </w:rPr>
        <w:t xml:space="preserve">   [SHOULD]</w:t>
      </w:r>
    </w:p>
    <w:p>
      <w:pPr>
        <w:spacing w:after="160" w:before="0" w:line="276"/>
        <w:jc w:val="left"/>
      </w:pPr>
      <w:r>
        <w:rPr>
          <w:rFonts w:ascii="Calibri" w:cs="Calibri" w:eastAsia="Calibri" w:hAnsi="Calibri"/>
          <w:color w:val="1F2937"/>
          <w:sz w:val="22"/>
          <w:szCs w:val="22"/>
        </w:rPr>
        <w:t xml:space="preserve">A subset of BBL's English-language questions is run periodically as a secondary, objective knowledge-accuracy signal, understood as complementary to — not a replacement for — the retrieval-precision evaluation in FR-EVAL-001, since BBL tests underlying legal knowledge via multiple-choice questions rather than retrieval behavior directly.</w:t>
      </w:r>
    </w:p>
    <w:p>
      <w:pPr>
        <w:spacing w:after="100" w:before="260"/>
      </w:pPr>
      <w:r>
        <w:rPr>
          <w:rFonts w:ascii="Consolas" w:cs="Consolas" w:eastAsia="Consolas" w:hAnsi="Consolas"/>
          <w:b/>
          <w:bCs/>
          <w:color w:val="1B3A5C"/>
          <w:sz w:val="21"/>
          <w:szCs w:val="21"/>
        </w:rPr>
        <w:t xml:space="preserve">FR-EVAL-003  </w:t>
      </w:r>
      <w:r>
        <w:rPr>
          <w:rFonts w:ascii="Cambria" w:cs="Cambria" w:eastAsia="Cambria" w:hAnsi="Cambria"/>
          <w:b/>
          <w:bCs/>
          <w:color w:val="1B3A5C"/>
          <w:sz w:val="22"/>
          <w:szCs w:val="22"/>
        </w:rPr>
        <w:t xml:space="preserve">CI-gated regression evaluation</w:t>
      </w:r>
      <w:r>
        <w:rPr>
          <w:b/>
          <w:bCs/>
          <w:color w:val="B45309"/>
          <w:sz w:val="17"/>
          <w:szCs w:val="17"/>
        </w:rPr>
        <w:t xml:space="preserve">   [SHOULD]</w:t>
      </w:r>
    </w:p>
    <w:p>
      <w:pPr>
        <w:spacing w:after="160" w:before="0" w:line="276"/>
        <w:jc w:val="left"/>
      </w:pPr>
      <w:r>
        <w:rPr>
          <w:rFonts w:ascii="Calibri" w:cs="Calibri" w:eastAsia="Calibri" w:hAnsi="Calibri"/>
          <w:color w:val="1F2937"/>
          <w:sz w:val="22"/>
          <w:szCs w:val="22"/>
        </w:rPr>
        <w:t xml:space="preserve">From Phase 2, the evaluation harness runs automatically in CI against defined target metrics (Section 6) and blocks a release on regression.</w:t>
      </w:r>
    </w:p>
    <w:p>
      <w:pPr>
        <w:pStyle w:val="Heading2"/>
        <w:spacing w:after="160" w:before="360"/>
      </w:pPr>
      <w:r>
        <w:rPr>
          <w:rFonts w:ascii="Cambria" w:cs="Cambria" w:eastAsia="Cambria" w:hAnsi="Cambria"/>
          <w:b/>
          <w:bCs/>
          <w:color w:val="1B3A5C"/>
          <w:sz w:val="26"/>
          <w:szCs w:val="26"/>
        </w:rPr>
        <w:t xml:space="preserve">3.13 Developer API (Phase 6+)</w:t>
      </w:r>
    </w:p>
    <w:p>
      <w:pPr>
        <w:spacing w:after="100" w:before="260"/>
      </w:pPr>
      <w:r>
        <w:rPr>
          <w:rFonts w:ascii="Consolas" w:cs="Consolas" w:eastAsia="Consolas" w:hAnsi="Consolas"/>
          <w:b/>
          <w:bCs/>
          <w:color w:val="1B3A5C"/>
          <w:sz w:val="21"/>
          <w:szCs w:val="21"/>
        </w:rPr>
        <w:t xml:space="preserve">FR-API-001  </w:t>
      </w:r>
      <w:r>
        <w:rPr>
          <w:rFonts w:ascii="Cambria" w:cs="Cambria" w:eastAsia="Cambria" w:hAnsi="Cambria"/>
          <w:b/>
          <w:bCs/>
          <w:color w:val="1B3A5C"/>
          <w:sz w:val="22"/>
          <w:szCs w:val="22"/>
        </w:rPr>
        <w:t xml:space="preserve">API-key authenticated query endpoint</w:t>
      </w:r>
      <w:r>
        <w:rPr>
          <w:b/>
          <w:bCs/>
          <w:color w:val="0E7C7B"/>
          <w:sz w:val="17"/>
          <w:szCs w:val="17"/>
        </w:rPr>
        <w:t xml:space="preserve">   [COULD]</w:t>
      </w:r>
    </w:p>
    <w:p>
      <w:pPr>
        <w:spacing w:after="160" w:before="0" w:line="276"/>
        <w:jc w:val="left"/>
      </w:pPr>
      <w:r>
        <w:rPr>
          <w:rFonts w:ascii="Calibri" w:cs="Calibri" w:eastAsia="Calibri" w:hAnsi="Calibri"/>
          <w:color w:val="1F2937"/>
          <w:sz w:val="22"/>
          <w:szCs w:val="22"/>
        </w:rPr>
        <w:t xml:space="preserve">A versioned REST endpoint exposes the same hybrid-retrieval-plus-generation pipeline to external developers, authenticated by API key and subject to usage-based rate limiting. Full endpoint design is in the SDD, Section 5.</w:t>
      </w:r>
    </w:p>
    <w:p>
      <w:pPr>
        <w:pStyle w:val="Heading2"/>
        <w:spacing w:after="160" w:before="360"/>
      </w:pPr>
      <w:r>
        <w:rPr>
          <w:rFonts w:ascii="Cambria" w:cs="Cambria" w:eastAsia="Cambria" w:hAnsi="Cambria"/>
          <w:b/>
          <w:bCs/>
          <w:color w:val="1B3A5C"/>
          <w:sz w:val="26"/>
          <w:szCs w:val="26"/>
        </w:rPr>
        <w:t xml:space="preserve">3.14 Multilingual Support (Phase 5+)</w:t>
      </w:r>
    </w:p>
    <w:p>
      <w:pPr>
        <w:spacing w:after="100" w:before="260"/>
      </w:pPr>
      <w:r>
        <w:rPr>
          <w:rFonts w:ascii="Consolas" w:cs="Consolas" w:eastAsia="Consolas" w:hAnsi="Consolas"/>
          <w:b/>
          <w:bCs/>
          <w:color w:val="1B3A5C"/>
          <w:sz w:val="21"/>
          <w:szCs w:val="21"/>
        </w:rPr>
        <w:t xml:space="preserve">FR-I18N-001  </w:t>
      </w:r>
      <w:r>
        <w:rPr>
          <w:rFonts w:ascii="Cambria" w:cs="Cambria" w:eastAsia="Cambria" w:hAnsi="Cambria"/>
          <w:b/>
          <w:bCs/>
          <w:color w:val="1B3A5C"/>
          <w:sz w:val="22"/>
          <w:szCs w:val="22"/>
        </w:rPr>
        <w:t xml:space="preserve">English + Hindi query and answer support</w:t>
      </w:r>
      <w:r>
        <w:rPr>
          <w:b/>
          <w:bCs/>
          <w:color w:val="0E7C7B"/>
          <w:sz w:val="17"/>
          <w:szCs w:val="17"/>
        </w:rPr>
        <w:t xml:space="preserve">   [COULD]</w:t>
      </w:r>
    </w:p>
    <w:p>
      <w:pPr>
        <w:spacing w:after="160" w:before="0" w:line="276"/>
        <w:jc w:val="left"/>
      </w:pPr>
      <w:r>
        <w:rPr>
          <w:rFonts w:ascii="Calibri" w:cs="Calibri" w:eastAsia="Calibri" w:hAnsi="Calibri"/>
          <w:color w:val="1F2937"/>
          <w:sz w:val="22"/>
          <w:szCs w:val="22"/>
        </w:rPr>
        <w:t xml:space="preserve">BGE-M3's multilingual embedding support is used to extend query and answer support to Hindi alongside English, beginning with the Phase 5 pilot state's content.</w:t>
      </w:r>
    </w:p>
    <w:p>
      <w:pPr>
        <w:pStyle w:val="Heading1"/>
        <w:pBdr>
          <w:bottom w:val="single" w:color="B8892B" w:sz="10" w:space="6"/>
        </w:pBdr>
        <w:spacing w:after="220" w:before="480"/>
      </w:pPr>
      <w:r>
        <w:rPr>
          <w:rFonts w:ascii="Cambria" w:cs="Cambria" w:eastAsia="Cambria" w:hAnsi="Cambria"/>
          <w:b/>
          <w:bCs/>
          <w:color w:val="1B3A5C"/>
          <w:sz w:val="32"/>
          <w:szCs w:val="32"/>
        </w:rPr>
        <w:t xml:space="preserve">4. External Interface Requirements</w:t>
      </w:r>
    </w:p>
    <w:p>
      <w:pPr>
        <w:pStyle w:val="Heading2"/>
        <w:spacing w:after="160" w:before="360"/>
      </w:pPr>
      <w:r>
        <w:rPr>
          <w:rFonts w:ascii="Cambria" w:cs="Cambria" w:eastAsia="Cambria" w:hAnsi="Cambria"/>
          <w:b/>
          <w:bCs/>
          <w:color w:val="1B3A5C"/>
          <w:sz w:val="26"/>
          <w:szCs w:val="26"/>
        </w:rPr>
        <w:t xml:space="preserve">4.1 User Interfaces</w:t>
      </w:r>
    </w:p>
    <w:p>
      <w:pPr>
        <w:pStyle w:val="ListParagraph"/>
        <w:numPr>
          <w:ilvl w:val="0"/>
          <w:numId w:val="1"/>
        </w:numPr>
        <w:spacing w:after="90" w:line="276"/>
      </w:pPr>
      <w:r>
        <w:rPr>
          <w:rFonts w:ascii="Calibri" w:cs="Calibri" w:eastAsia="Calibri" w:hAnsi="Calibri"/>
          <w:b w:val="false"/>
          <w:bCs w:val="false"/>
          <w:i w:val="false"/>
          <w:iCs w:val="false"/>
          <w:color w:val="1F2937"/>
          <w:sz w:val="22"/>
          <w:szCs w:val="22"/>
        </w:rPr>
        <w:t xml:space="preserve">Chat/search interface: single-page, streaming, minimal chrome — optimized for “ask a precise question, get a cited answer” rather than a multi-tool dashboard.</w:t>
      </w:r>
    </w:p>
    <w:p>
      <w:pPr>
        <w:pStyle w:val="ListParagraph"/>
        <w:numPr>
          <w:ilvl w:val="0"/>
          <w:numId w:val="1"/>
        </w:numPr>
        <w:spacing w:after="90" w:line="276"/>
      </w:pPr>
      <w:r>
        <w:rPr>
          <w:rFonts w:ascii="Calibri" w:cs="Calibri" w:eastAsia="Calibri" w:hAnsi="Calibri"/>
          <w:b w:val="false"/>
          <w:bCs w:val="false"/>
          <w:i w:val="false"/>
          <w:iCs w:val="false"/>
          <w:color w:val="1F2937"/>
          <w:sz w:val="22"/>
          <w:szCs w:val="22"/>
        </w:rPr>
        <w:t xml:space="preserve">Citation viewer: slide-over panel, not a page navigation, to keep the user's question in view.</w:t>
      </w:r>
    </w:p>
    <w:p>
      <w:pPr>
        <w:pStyle w:val="ListParagraph"/>
        <w:numPr>
          <w:ilvl w:val="0"/>
          <w:numId w:val="1"/>
        </w:numPr>
        <w:spacing w:after="90" w:line="276"/>
      </w:pPr>
      <w:r>
        <w:rPr>
          <w:rFonts w:ascii="Calibri" w:cs="Calibri" w:eastAsia="Calibri" w:hAnsi="Calibri"/>
          <w:b w:val="false"/>
          <w:bCs w:val="false"/>
          <w:i w:val="false"/>
          <w:iCs w:val="false"/>
          <w:color w:val="1F2937"/>
          <w:sz w:val="22"/>
          <w:szCs w:val="22"/>
        </w:rPr>
        <w:t xml:space="preserve">Mobile-responsive from Phase 1; native mobile app deferred to Phase 7.</w:t>
      </w:r>
    </w:p>
    <w:p>
      <w:pPr>
        <w:pStyle w:val="Heading2"/>
        <w:spacing w:after="160" w:before="360"/>
      </w:pPr>
      <w:r>
        <w:rPr>
          <w:rFonts w:ascii="Cambria" w:cs="Cambria" w:eastAsia="Cambria" w:hAnsi="Cambria"/>
          <w:b/>
          <w:bCs/>
          <w:color w:val="1B3A5C"/>
          <w:sz w:val="26"/>
          <w:szCs w:val="26"/>
        </w:rPr>
        <w:t xml:space="preserve">4.2 API Interfaces</w:t>
      </w:r>
    </w:p>
    <w:p>
      <w:pPr>
        <w:spacing w:after="160" w:before="0" w:line="276"/>
        <w:jc w:val="left"/>
      </w:pPr>
      <w:r>
        <w:rPr>
          <w:rFonts w:ascii="Calibri" w:cs="Calibri" w:eastAsia="Calibri" w:hAnsi="Calibri"/>
          <w:color w:val="1F2937"/>
          <w:sz w:val="22"/>
          <w:szCs w:val="22"/>
        </w:rPr>
        <w:t xml:space="preserve">Full endpoint list, request/response schemas, and auth model are specified in the SDD, Section 5. In summary: a versioned REST API (/api/v1/...) plus a WebSocket/SSE channel for streaming chat responses.</w:t>
      </w:r>
    </w:p>
    <w:p>
      <w:pPr>
        <w:pStyle w:val="Heading2"/>
        <w:spacing w:after="160" w:before="360"/>
      </w:pPr>
      <w:r>
        <w:rPr>
          <w:rFonts w:ascii="Cambria" w:cs="Cambria" w:eastAsia="Cambria" w:hAnsi="Cambria"/>
          <w:b/>
          <w:bCs/>
          <w:color w:val="1B3A5C"/>
          <w:sz w:val="26"/>
          <w:szCs w:val="26"/>
        </w:rPr>
        <w:t xml:space="preserve">4.3 Hardware Interfaces</w:t>
      </w:r>
    </w:p>
    <w:p>
      <w:pPr>
        <w:pStyle w:val="ListParagraph"/>
        <w:numPr>
          <w:ilvl w:val="0"/>
          <w:numId w:val="1"/>
        </w:numPr>
        <w:spacing w:after="90" w:line="276"/>
      </w:pPr>
      <w:r>
        <w:rPr>
          <w:rFonts w:ascii="Calibri" w:cs="Calibri" w:eastAsia="Calibri" w:hAnsi="Calibri"/>
          <w:b w:val="false"/>
          <w:bCs w:val="false"/>
          <w:i w:val="false"/>
          <w:iCs w:val="false"/>
          <w:color w:val="1F2937"/>
          <w:sz w:val="22"/>
          <w:szCs w:val="22"/>
        </w:rPr>
        <w:t xml:space="preserve">Development: single GPU-equipped machine, 6 GB-class VRAM, 16 GB system RAM — sized for local embedding + reranking inference, not local LLM hosting.</w:t>
      </w:r>
    </w:p>
    <w:p>
      <w:pPr>
        <w:pStyle w:val="ListParagraph"/>
        <w:numPr>
          <w:ilvl w:val="0"/>
          <w:numId w:val="1"/>
        </w:numPr>
        <w:spacing w:after="90" w:line="276"/>
      </w:pPr>
      <w:r>
        <w:rPr>
          <w:rFonts w:ascii="Calibri" w:cs="Calibri" w:eastAsia="Calibri" w:hAnsi="Calibri"/>
          <w:b w:val="false"/>
          <w:bCs w:val="false"/>
          <w:i w:val="false"/>
          <w:iCs w:val="false"/>
          <w:color w:val="1F2937"/>
          <w:sz w:val="22"/>
          <w:szCs w:val="22"/>
        </w:rPr>
        <w:t xml:space="preserve">Production: no dedicated hardware; GCP-managed compute (Cloud Run, and Compute Engine for the Qdrant instance).</w:t>
      </w:r>
    </w:p>
    <w:p>
      <w:pPr>
        <w:pStyle w:val="Heading2"/>
        <w:spacing w:after="160" w:before="360"/>
      </w:pPr>
      <w:r>
        <w:rPr>
          <w:rFonts w:ascii="Cambria" w:cs="Cambria" w:eastAsia="Cambria" w:hAnsi="Cambria"/>
          <w:b/>
          <w:bCs/>
          <w:color w:val="1B3A5C"/>
          <w:sz w:val="26"/>
          <w:szCs w:val="26"/>
        </w:rPr>
        <w:t xml:space="preserve">4.4 Software Interfaces</w:t>
      </w:r>
    </w:p>
    <w:tbl>
      <w:tblPr>
        <w:tblW w:type="pct" w:w="100%"/>
        <w:tblBorders>
          <w:top w:val="single" w:color="D7DEE6" w:sz="4"/>
          <w:left w:val="single" w:color="D7DEE6" w:sz="4"/>
          <w:bottom w:val="single" w:color="D7DEE6" w:sz="4"/>
          <w:right w:val="single" w:color="D7DEE6" w:sz="4"/>
          <w:insideH w:val="single" w:color="D7DEE6" w:sz="4"/>
          <w:insideV w:val="single" w:color="D7DEE6" w:sz="4"/>
        </w:tblBorders>
      </w:tblPr>
      <w:tblGrid>
        <w:gridCol w:w="100"/>
        <w:gridCol w:w="100"/>
        <w:gridCol w:w="100"/>
      </w:tblGrid>
      <w:tr>
        <w:trPr>
          <w:tblHeader/>
        </w:trPr>
        <w:tc>
          <w:tcPr>
            <w:tcW w:type="pct" w:w="22%"/>
            <w:shd w:fill="1B3A5C" w:val="clear"/>
            <w:tcMar>
              <w:top w:type="dxa" w:w="90"/>
              <w:left w:type="dxa" w:w="110"/>
              <w:bottom w:type="dxa" w:w="90"/>
              <w:right w:type="dxa" w:w="110"/>
            </w:tcMar>
            <w:vAlign w:val="center"/>
          </w:tcPr>
          <w:p>
            <w:pPr>
              <w:spacing w:after="0"/>
              <w:jc w:val="left"/>
            </w:pPr>
            <w:r>
              <w:rPr>
                <w:rFonts w:ascii="Calibri" w:cs="Calibri" w:eastAsia="Calibri" w:hAnsi="Calibri"/>
                <w:b/>
                <w:bCs/>
                <w:i w:val="false"/>
                <w:iCs w:val="false"/>
                <w:color w:val="FFFFFF"/>
                <w:sz w:val="19"/>
                <w:szCs w:val="19"/>
              </w:rPr>
              <w:t xml:space="preserve">Dependency</w:t>
            </w:r>
          </w:p>
        </w:tc>
        <w:tc>
          <w:tcPr>
            <w:tcW w:type="pct" w:w="30%"/>
            <w:shd w:fill="1B3A5C" w:val="clear"/>
            <w:tcMar>
              <w:top w:type="dxa" w:w="90"/>
              <w:left w:type="dxa" w:w="110"/>
              <w:bottom w:type="dxa" w:w="90"/>
              <w:right w:type="dxa" w:w="110"/>
            </w:tcMar>
            <w:vAlign w:val="center"/>
          </w:tcPr>
          <w:p>
            <w:pPr>
              <w:spacing w:after="0"/>
              <w:jc w:val="left"/>
            </w:pPr>
            <w:r>
              <w:rPr>
                <w:rFonts w:ascii="Calibri" w:cs="Calibri" w:eastAsia="Calibri" w:hAnsi="Calibri"/>
                <w:b/>
                <w:bCs/>
                <w:i w:val="false"/>
                <w:iCs w:val="false"/>
                <w:color w:val="FFFFFF"/>
                <w:sz w:val="19"/>
                <w:szCs w:val="19"/>
              </w:rPr>
              <w:t xml:space="preserve">Role</w:t>
            </w:r>
          </w:p>
        </w:tc>
        <w:tc>
          <w:tcPr>
            <w:tcW w:type="pct" w:w="48%"/>
            <w:shd w:fill="1B3A5C" w:val="clear"/>
            <w:tcMar>
              <w:top w:type="dxa" w:w="90"/>
              <w:left w:type="dxa" w:w="110"/>
              <w:bottom w:type="dxa" w:w="90"/>
              <w:right w:type="dxa" w:w="110"/>
            </w:tcMar>
            <w:vAlign w:val="center"/>
          </w:tcPr>
          <w:p>
            <w:pPr>
              <w:spacing w:after="0"/>
              <w:jc w:val="left"/>
            </w:pPr>
            <w:r>
              <w:rPr>
                <w:rFonts w:ascii="Calibri" w:cs="Calibri" w:eastAsia="Calibri" w:hAnsi="Calibri"/>
                <w:b/>
                <w:bCs/>
                <w:i w:val="false"/>
                <w:iCs w:val="false"/>
                <w:color w:val="FFFFFF"/>
                <w:sz w:val="19"/>
                <w:szCs w:val="19"/>
              </w:rPr>
              <w:t xml:space="preserve">Notes</w:t>
            </w:r>
          </w:p>
        </w:tc>
      </w:tr>
      <w:tr>
        <w:tc>
          <w:tcPr>
            <w:tcW w:type="pct" w:w="22%"/>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Qdrant</w:t>
            </w:r>
          </w:p>
        </w:tc>
        <w:tc>
          <w:tcPr>
            <w:tcW w:type="pct" w:w="30%"/>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Vector + keyword hybrid index</w:t>
            </w:r>
          </w:p>
        </w:tc>
        <w:tc>
          <w:tcPr>
            <w:tcW w:type="pct" w:w="48%"/>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Native sparse+dense hybrid search avoids a separate Elasticsearch/OpenSearch service at MVP scale.</w:t>
            </w:r>
          </w:p>
        </w:tc>
      </w:tr>
      <w:tr>
        <w:tc>
          <w:tcPr>
            <w:tcW w:type="pct" w:w="22%"/>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PostgreSQL (Cloud SQL)</w:t>
            </w:r>
          </w:p>
        </w:tc>
        <w:tc>
          <w:tcPr>
            <w:tcW w:type="pct" w:w="30%"/>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Relational metadata, users, conversations</w:t>
            </w:r>
          </w:p>
        </w:tc>
        <w:tc>
          <w:tcPr>
            <w:tcW w:type="pct" w:w="48%"/>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System of record for everything except vectors.</w:t>
            </w:r>
          </w:p>
        </w:tc>
      </w:tr>
      <w:tr>
        <w:tc>
          <w:tcPr>
            <w:tcW w:type="pct" w:w="22%"/>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Vertex AI (Gemini)</w:t>
            </w:r>
          </w:p>
        </w:tc>
        <w:tc>
          <w:tcPr>
            <w:tcW w:type="pct" w:w="30%"/>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Answer generation</w:t>
            </w:r>
          </w:p>
        </w:tc>
        <w:tc>
          <w:tcPr>
            <w:tcW w:type="pct" w:w="48%"/>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Region gotcha: some Gemini model versions require location="global".</w:t>
            </w:r>
          </w:p>
        </w:tc>
      </w:tr>
      <w:tr>
        <w:tc>
          <w:tcPr>
            <w:tcW w:type="pct" w:w="22%"/>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BGE-M3</w:t>
            </w:r>
          </w:p>
        </w:tc>
        <w:tc>
          <w:tcPr>
            <w:tcW w:type="pct" w:w="30%"/>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Embedding model</w:t>
            </w:r>
          </w:p>
        </w:tc>
        <w:tc>
          <w:tcPr>
            <w:tcW w:type="pct" w:w="48%"/>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Self-hosted, local GPU inference, multilingual-capable.</w:t>
            </w:r>
          </w:p>
        </w:tc>
      </w:tr>
      <w:tr>
        <w:tc>
          <w:tcPr>
            <w:tcW w:type="pct" w:w="22%"/>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OpenNyAI</w:t>
            </w:r>
          </w:p>
        </w:tc>
        <w:tc>
          <w:tcPr>
            <w:tcW w:type="pct" w:w="30%"/>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Judgment NER / rhetorical roles</w:t>
            </w:r>
          </w:p>
        </w:tc>
        <w:tc>
          <w:tcPr>
            <w:tcW w:type="pct" w:w="48%"/>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Phase 4+ only — trained on judgment structure, not statute structure.</w:t>
            </w:r>
          </w:p>
        </w:tc>
      </w:tr>
      <w:tr>
        <w:tc>
          <w:tcPr>
            <w:tcW w:type="pct" w:w="22%"/>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Google Cloud Storage</w:t>
            </w:r>
          </w:p>
        </w:tc>
        <w:tc>
          <w:tcPr>
            <w:tcW w:type="pct" w:w="30%"/>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Raw document &amp; artifact storage</w:t>
            </w:r>
          </w:p>
        </w:tc>
        <w:tc>
          <w:tcPr>
            <w:tcW w:type="pct" w:w="48%"/>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Source PDFs/HTML, ingestion artifacts, backups.</w:t>
            </w:r>
          </w:p>
        </w:tc>
      </w:tr>
    </w:tbl>
    <w:p>
      <w:pPr>
        <w:pStyle w:val="Heading2"/>
        <w:spacing w:after="160" w:before="360"/>
      </w:pPr>
      <w:r>
        <w:rPr>
          <w:rFonts w:ascii="Cambria" w:cs="Cambria" w:eastAsia="Cambria" w:hAnsi="Cambria"/>
          <w:b/>
          <w:bCs/>
          <w:color w:val="1B3A5C"/>
          <w:sz w:val="26"/>
          <w:szCs w:val="26"/>
        </w:rPr>
        <w:t xml:space="preserve">4.5 Communication Interfaces</w:t>
      </w:r>
    </w:p>
    <w:p>
      <w:pPr>
        <w:pStyle w:val="ListParagraph"/>
        <w:numPr>
          <w:ilvl w:val="0"/>
          <w:numId w:val="1"/>
        </w:numPr>
        <w:spacing w:after="90" w:line="276"/>
      </w:pPr>
      <w:r>
        <w:rPr>
          <w:rFonts w:ascii="Calibri" w:cs="Calibri" w:eastAsia="Calibri" w:hAnsi="Calibri"/>
          <w:b w:val="false"/>
          <w:bCs w:val="false"/>
          <w:i w:val="false"/>
          <w:iCs w:val="false"/>
          <w:color w:val="1F2937"/>
          <w:sz w:val="22"/>
          <w:szCs w:val="22"/>
        </w:rPr>
        <w:t xml:space="preserve">HTTPS/REST for all synchronous API calls; TLS enforced end-to-end.</w:t>
      </w:r>
    </w:p>
    <w:p>
      <w:pPr>
        <w:pStyle w:val="ListParagraph"/>
        <w:numPr>
          <w:ilvl w:val="0"/>
          <w:numId w:val="1"/>
        </w:numPr>
        <w:spacing w:after="90" w:line="276"/>
      </w:pPr>
      <w:r>
        <w:rPr>
          <w:rFonts w:ascii="Calibri" w:cs="Calibri" w:eastAsia="Calibri" w:hAnsi="Calibri"/>
          <w:b w:val="false"/>
          <w:bCs w:val="false"/>
          <w:i w:val="false"/>
          <w:iCs w:val="false"/>
          <w:color w:val="1F2937"/>
          <w:sz w:val="22"/>
          <w:szCs w:val="22"/>
        </w:rPr>
        <w:t xml:space="preserve">WebSocket or Server-Sent Events for streaming chat responses.</w:t>
      </w:r>
    </w:p>
    <w:p>
      <w:pPr>
        <w:pStyle w:val="Heading1"/>
        <w:pBdr>
          <w:bottom w:val="single" w:color="B8892B" w:sz="10" w:space="6"/>
        </w:pBdr>
        <w:spacing w:after="220" w:before="480"/>
      </w:pPr>
      <w:r>
        <w:rPr>
          <w:rFonts w:ascii="Cambria" w:cs="Cambria" w:eastAsia="Cambria" w:hAnsi="Cambria"/>
          <w:b/>
          <w:bCs/>
          <w:color w:val="1B3A5C"/>
          <w:sz w:val="32"/>
          <w:szCs w:val="32"/>
        </w:rPr>
        <w:t xml:space="preserve">5. Non-Functional Requirements</w:t>
      </w:r>
    </w:p>
    <w:p>
      <w:pPr>
        <w:pStyle w:val="Heading2"/>
        <w:spacing w:after="160" w:before="360"/>
      </w:pPr>
      <w:r>
        <w:rPr>
          <w:rFonts w:ascii="Cambria" w:cs="Cambria" w:eastAsia="Cambria" w:hAnsi="Cambria"/>
          <w:b/>
          <w:bCs/>
          <w:color w:val="1B3A5C"/>
          <w:sz w:val="26"/>
          <w:szCs w:val="26"/>
        </w:rPr>
        <w:t xml:space="preserve">5.1 Performance</w:t>
      </w:r>
    </w:p>
    <w:tbl>
      <w:tblPr>
        <w:tblW w:type="pct" w:w="100%"/>
        <w:tblBorders>
          <w:top w:val="single" w:color="D7DEE6" w:sz="4"/>
          <w:left w:val="single" w:color="D7DEE6" w:sz="4"/>
          <w:bottom w:val="single" w:color="D7DEE6" w:sz="4"/>
          <w:right w:val="single" w:color="D7DEE6" w:sz="4"/>
          <w:insideH w:val="single" w:color="D7DEE6" w:sz="4"/>
          <w:insideV w:val="single" w:color="D7DEE6" w:sz="4"/>
        </w:tblBorders>
      </w:tblPr>
      <w:tblGrid>
        <w:gridCol w:w="100"/>
        <w:gridCol w:w="100"/>
        <w:gridCol w:w="100"/>
      </w:tblGrid>
      <w:tr>
        <w:trPr>
          <w:tblHeader/>
        </w:trPr>
        <w:tc>
          <w:tcPr>
            <w:tcW w:type="pct" w:w="18%"/>
            <w:shd w:fill="1B3A5C" w:val="clear"/>
            <w:tcMar>
              <w:top w:type="dxa" w:w="90"/>
              <w:left w:type="dxa" w:w="110"/>
              <w:bottom w:type="dxa" w:w="90"/>
              <w:right w:type="dxa" w:w="110"/>
            </w:tcMar>
            <w:vAlign w:val="center"/>
          </w:tcPr>
          <w:p>
            <w:pPr>
              <w:spacing w:after="0"/>
              <w:jc w:val="left"/>
            </w:pPr>
            <w:r>
              <w:rPr>
                <w:rFonts w:ascii="Calibri" w:cs="Calibri" w:eastAsia="Calibri" w:hAnsi="Calibri"/>
                <w:b/>
                <w:bCs/>
                <w:i w:val="false"/>
                <w:iCs w:val="false"/>
                <w:color w:val="FFFFFF"/>
                <w:sz w:val="19"/>
                <w:szCs w:val="19"/>
              </w:rPr>
              <w:t xml:space="preserve">ID</w:t>
            </w:r>
          </w:p>
        </w:tc>
        <w:tc>
          <w:tcPr>
            <w:tcW w:type="pct" w:w="52%"/>
            <w:shd w:fill="1B3A5C" w:val="clear"/>
            <w:tcMar>
              <w:top w:type="dxa" w:w="90"/>
              <w:left w:type="dxa" w:w="110"/>
              <w:bottom w:type="dxa" w:w="90"/>
              <w:right w:type="dxa" w:w="110"/>
            </w:tcMar>
            <w:vAlign w:val="center"/>
          </w:tcPr>
          <w:p>
            <w:pPr>
              <w:spacing w:after="0"/>
              <w:jc w:val="left"/>
            </w:pPr>
            <w:r>
              <w:rPr>
                <w:rFonts w:ascii="Calibri" w:cs="Calibri" w:eastAsia="Calibri" w:hAnsi="Calibri"/>
                <w:b/>
                <w:bCs/>
                <w:i w:val="false"/>
                <w:iCs w:val="false"/>
                <w:color w:val="FFFFFF"/>
                <w:sz w:val="19"/>
                <w:szCs w:val="19"/>
              </w:rPr>
              <w:t xml:space="preserve">Requirement</w:t>
            </w:r>
          </w:p>
        </w:tc>
        <w:tc>
          <w:tcPr>
            <w:tcW w:type="pct" w:w="30%"/>
            <w:shd w:fill="1B3A5C" w:val="clear"/>
            <w:tcMar>
              <w:top w:type="dxa" w:w="90"/>
              <w:left w:type="dxa" w:w="110"/>
              <w:bottom w:type="dxa" w:w="90"/>
              <w:right w:type="dxa" w:w="110"/>
            </w:tcMar>
            <w:vAlign w:val="center"/>
          </w:tcPr>
          <w:p>
            <w:pPr>
              <w:spacing w:after="0"/>
              <w:jc w:val="left"/>
            </w:pPr>
            <w:r>
              <w:rPr>
                <w:rFonts w:ascii="Calibri" w:cs="Calibri" w:eastAsia="Calibri" w:hAnsi="Calibri"/>
                <w:b/>
                <w:bCs/>
                <w:i w:val="false"/>
                <w:iCs w:val="false"/>
                <w:color w:val="FFFFFF"/>
                <w:sz w:val="19"/>
                <w:szCs w:val="19"/>
              </w:rPr>
              <w:t xml:space="preserve">Target</w:t>
            </w:r>
          </w:p>
        </w:tc>
      </w:tr>
      <w:tr>
        <w:tc>
          <w:tcPr>
            <w:tcW w:type="pct" w:w="18%"/>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NFR-PERF-001</w:t>
            </w:r>
          </w:p>
        </w:tc>
        <w:tc>
          <w:tcPr>
            <w:tcW w:type="pct" w:w="52%"/>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Hybrid retrieval latency (query → reranked top-k)</w:t>
            </w:r>
          </w:p>
        </w:tc>
        <w:tc>
          <w:tcPr>
            <w:tcW w:type="pct" w:w="30%"/>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&lt; 500 ms, p95</w:t>
            </w:r>
          </w:p>
        </w:tc>
      </w:tr>
      <w:tr>
        <w:tc>
          <w:tcPr>
            <w:tcW w:type="pct" w:w="18%"/>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NFR-PERF-002</w:t>
            </w:r>
          </w:p>
        </w:tc>
        <w:tc>
          <w:tcPr>
            <w:tcW w:type="pct" w:w="52%"/>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Time to first streamed token</w:t>
            </w:r>
          </w:p>
        </w:tc>
        <w:tc>
          <w:tcPr>
            <w:tcW w:type="pct" w:w="30%"/>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&lt; 2 s, p95</w:t>
            </w:r>
          </w:p>
        </w:tc>
      </w:tr>
      <w:tr>
        <w:tc>
          <w:tcPr>
            <w:tcW w:type="pct" w:w="18%"/>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NFR-PERF-003</w:t>
            </w:r>
          </w:p>
        </w:tc>
        <w:tc>
          <w:tcPr>
            <w:tcW w:type="pct" w:w="52%"/>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End-to-end answer completion (short answer)</w:t>
            </w:r>
          </w:p>
        </w:tc>
        <w:tc>
          <w:tcPr>
            <w:tcW w:type="pct" w:w="30%"/>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&lt; 8 s, p95</w:t>
            </w:r>
          </w:p>
        </w:tc>
      </w:tr>
      <w:tr>
        <w:tc>
          <w:tcPr>
            <w:tcW w:type="pct" w:w="18%"/>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NFR-PERF-004</w:t>
            </w:r>
          </w:p>
        </w:tc>
        <w:tc>
          <w:tcPr>
            <w:tcW w:type="pct" w:w="52%"/>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Ingestion throughput (Phase 1 corpus)</w:t>
            </w:r>
          </w:p>
        </w:tc>
        <w:tc>
          <w:tcPr>
            <w:tcW w:type="pct" w:w="30%"/>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Full Constitution + BNS/BNSS/BSA re-ingestable in a single overnight batch</w:t>
            </w:r>
          </w:p>
        </w:tc>
      </w:tr>
    </w:tbl>
    <w:p>
      <w:pPr>
        <w:pStyle w:val="Heading2"/>
        <w:spacing w:after="160" w:before="360"/>
      </w:pPr>
      <w:r>
        <w:rPr>
          <w:rFonts w:ascii="Cambria" w:cs="Cambria" w:eastAsia="Cambria" w:hAnsi="Cambria"/>
          <w:b/>
          <w:bCs/>
          <w:color w:val="1B3A5C"/>
          <w:sz w:val="26"/>
          <w:szCs w:val="26"/>
        </w:rPr>
        <w:t xml:space="preserve">5.2 Scalability</w:t>
      </w:r>
    </w:p>
    <w:p>
      <w:pPr>
        <w:pStyle w:val="ListParagraph"/>
        <w:numPr>
          <w:ilvl w:val="0"/>
          <w:numId w:val="1"/>
        </w:numPr>
        <w:spacing w:after="90" w:line="276"/>
      </w:pPr>
      <w:r>
        <w:rPr>
          <w:rFonts w:ascii="Calibri" w:cs="Calibri" w:eastAsia="Calibri" w:hAnsi="Calibri"/>
          <w:b w:val="false"/>
          <w:bCs w:val="false"/>
          <w:i w:val="false"/>
          <w:iCs w:val="false"/>
          <w:color w:val="1F2937"/>
          <w:sz w:val="22"/>
          <w:szCs w:val="22"/>
        </w:rPr>
        <w:t xml:space="preserve">Phase 1–2: designed for low hundreds of concurrent users — single Cloud Run service per component, autoscaling on request volume.</w:t>
      </w:r>
    </w:p>
    <w:p>
      <w:pPr>
        <w:pStyle w:val="ListParagraph"/>
        <w:numPr>
          <w:ilvl w:val="0"/>
          <w:numId w:val="1"/>
        </w:numPr>
        <w:spacing w:after="90" w:line="276"/>
      </w:pPr>
      <w:r>
        <w:rPr>
          <w:rFonts w:ascii="Calibri" w:cs="Calibri" w:eastAsia="Calibri" w:hAnsi="Calibri"/>
          <w:b w:val="false"/>
          <w:bCs w:val="false"/>
          <w:i w:val="false"/>
          <w:iCs w:val="false"/>
          <w:color w:val="1F2937"/>
          <w:sz w:val="22"/>
          <w:szCs w:val="22"/>
        </w:rPr>
        <w:t xml:space="preserve">Phase 6+ (developer API launch): usage-based rate limiting per API key; horizontal scaling introduced only when real traffic justifies it (see SDD ADR-005 on deferring GKE).</w:t>
      </w:r>
    </w:p>
    <w:p>
      <w:pPr>
        <w:pStyle w:val="Heading2"/>
        <w:spacing w:after="160" w:before="360"/>
      </w:pPr>
      <w:r>
        <w:rPr>
          <w:rFonts w:ascii="Cambria" w:cs="Cambria" w:eastAsia="Cambria" w:hAnsi="Cambria"/>
          <w:b/>
          <w:bCs/>
          <w:color w:val="1B3A5C"/>
          <w:sz w:val="26"/>
          <w:szCs w:val="26"/>
        </w:rPr>
        <w:t xml:space="preserve">5.3 Reliability &amp; Availability</w:t>
      </w:r>
    </w:p>
    <w:p>
      <w:pPr>
        <w:pStyle w:val="ListParagraph"/>
        <w:numPr>
          <w:ilvl w:val="0"/>
          <w:numId w:val="1"/>
        </w:numPr>
        <w:spacing w:after="90" w:line="276"/>
      </w:pPr>
      <w:r>
        <w:rPr>
          <w:rFonts w:ascii="Calibri" w:cs="Calibri" w:eastAsia="Calibri" w:hAnsi="Calibri"/>
          <w:b w:val="false"/>
          <w:bCs w:val="false"/>
          <w:i w:val="false"/>
          <w:iCs w:val="false"/>
          <w:color w:val="1F2937"/>
          <w:sz w:val="22"/>
          <w:szCs w:val="22"/>
        </w:rPr>
        <w:t xml:space="preserve">Target 99.5% uptime from the Phase 1 production milestone onward (single-region, no HA multi-region requirement pre-Phase 6).</w:t>
      </w:r>
    </w:p>
    <w:p>
      <w:pPr>
        <w:pStyle w:val="ListParagraph"/>
        <w:numPr>
          <w:ilvl w:val="0"/>
          <w:numId w:val="1"/>
        </w:numPr>
        <w:spacing w:after="90" w:line="276"/>
      </w:pPr>
      <w:r>
        <w:rPr>
          <w:rFonts w:ascii="Calibri" w:cs="Calibri" w:eastAsia="Calibri" w:hAnsi="Calibri"/>
          <w:b w:val="false"/>
          <w:bCs w:val="false"/>
          <w:i w:val="false"/>
          <w:iCs w:val="false"/>
          <w:color w:val="1F2937"/>
          <w:sz w:val="22"/>
          <w:szCs w:val="22"/>
        </w:rPr>
        <w:t xml:space="preserve">Daily automated backups of PostgreSQL and the Qdrant collection; restore procedure tested before each phase's production milestone.</w:t>
      </w:r>
    </w:p>
    <w:p>
      <w:pPr>
        <w:pStyle w:val="ListParagraph"/>
        <w:numPr>
          <w:ilvl w:val="0"/>
          <w:numId w:val="1"/>
        </w:numPr>
        <w:spacing w:after="90" w:line="276"/>
      </w:pPr>
      <w:r>
        <w:rPr>
          <w:rFonts w:ascii="Calibri" w:cs="Calibri" w:eastAsia="Calibri" w:hAnsi="Calibri"/>
          <w:b w:val="false"/>
          <w:bCs w:val="false"/>
          <w:i w:val="false"/>
          <w:iCs w:val="false"/>
          <w:color w:val="1F2937"/>
          <w:sz w:val="22"/>
          <w:szCs w:val="22"/>
        </w:rPr>
        <w:t xml:space="preserve">Graceful degradation: if the Vertex AI generation call fails, the system returns the top retrieved sources directly (retrieval-only mode) rather than a hard error.</w:t>
      </w:r>
    </w:p>
    <w:p>
      <w:pPr>
        <w:pStyle w:val="Heading2"/>
        <w:spacing w:after="160" w:before="360"/>
      </w:pPr>
      <w:r>
        <w:rPr>
          <w:rFonts w:ascii="Cambria" w:cs="Cambria" w:eastAsia="Cambria" w:hAnsi="Cambria"/>
          <w:b/>
          <w:bCs/>
          <w:color w:val="1B3A5C"/>
          <w:sz w:val="26"/>
          <w:szCs w:val="26"/>
        </w:rPr>
        <w:t xml:space="preserve">5.4 Security</w:t>
      </w:r>
    </w:p>
    <w:tbl>
      <w:tblPr>
        <w:tblW w:type="pct" w:w="100%"/>
        <w:tblBorders>
          <w:top w:val="single" w:color="D7DEE6" w:sz="4"/>
          <w:left w:val="single" w:color="D7DEE6" w:sz="4"/>
          <w:bottom w:val="single" w:color="D7DEE6" w:sz="4"/>
          <w:right w:val="single" w:color="D7DEE6" w:sz="4"/>
          <w:insideH w:val="single" w:color="D7DEE6" w:sz="4"/>
          <w:insideV w:val="single" w:color="D7DEE6" w:sz="4"/>
        </w:tblBorders>
      </w:tblPr>
      <w:tblGrid>
        <w:gridCol w:w="100"/>
        <w:gridCol w:w="100"/>
      </w:tblGrid>
      <w:tr>
        <w:trPr>
          <w:tblHeader/>
        </w:trPr>
        <w:tc>
          <w:tcPr>
            <w:tcW w:type="pct" w:w="22%"/>
            <w:shd w:fill="1B3A5C" w:val="clear"/>
            <w:tcMar>
              <w:top w:type="dxa" w:w="90"/>
              <w:left w:type="dxa" w:w="110"/>
              <w:bottom w:type="dxa" w:w="90"/>
              <w:right w:type="dxa" w:w="110"/>
            </w:tcMar>
            <w:vAlign w:val="center"/>
          </w:tcPr>
          <w:p>
            <w:pPr>
              <w:spacing w:after="0"/>
              <w:jc w:val="left"/>
            </w:pPr>
            <w:r>
              <w:rPr>
                <w:rFonts w:ascii="Calibri" w:cs="Calibri" w:eastAsia="Calibri" w:hAnsi="Calibri"/>
                <w:b/>
                <w:bCs/>
                <w:i w:val="false"/>
                <w:iCs w:val="false"/>
                <w:color w:val="FFFFFF"/>
                <w:sz w:val="19"/>
                <w:szCs w:val="19"/>
              </w:rPr>
              <w:t xml:space="preserve">ID</w:t>
            </w:r>
          </w:p>
        </w:tc>
        <w:tc>
          <w:tcPr>
            <w:tcW w:type="pct" w:w="78%"/>
            <w:shd w:fill="1B3A5C" w:val="clear"/>
            <w:tcMar>
              <w:top w:type="dxa" w:w="90"/>
              <w:left w:type="dxa" w:w="110"/>
              <w:bottom w:type="dxa" w:w="90"/>
              <w:right w:type="dxa" w:w="110"/>
            </w:tcMar>
            <w:vAlign w:val="center"/>
          </w:tcPr>
          <w:p>
            <w:pPr>
              <w:spacing w:after="0"/>
              <w:jc w:val="left"/>
            </w:pPr>
            <w:r>
              <w:rPr>
                <w:rFonts w:ascii="Calibri" w:cs="Calibri" w:eastAsia="Calibri" w:hAnsi="Calibri"/>
                <w:b/>
                <w:bCs/>
                <w:i w:val="false"/>
                <w:iCs w:val="false"/>
                <w:color w:val="FFFFFF"/>
                <w:sz w:val="19"/>
                <w:szCs w:val="19"/>
              </w:rPr>
              <w:t xml:space="preserve">Requirement</w:t>
            </w:r>
          </w:p>
        </w:tc>
      </w:tr>
      <w:tr>
        <w:tc>
          <w:tcPr>
            <w:tcW w:type="pct" w:w="22%"/>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NFR-SEC-001</w:t>
            </w:r>
          </w:p>
        </w:tc>
        <w:tc>
          <w:tcPr>
            <w:tcW w:type="pct" w:w="78%"/>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All traffic over TLS; secrets held in Secret Manager, never in source control or environment files committed to the repo.</w:t>
            </w:r>
          </w:p>
        </w:tc>
      </w:tr>
      <w:tr>
        <w:tc>
          <w:tcPr>
            <w:tcW w:type="pct" w:w="22%"/>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NFR-SEC-002</w:t>
            </w:r>
          </w:p>
        </w:tc>
        <w:tc>
          <w:tcPr>
            <w:tcW w:type="pct" w:w="78%"/>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Least-privilege IAM service accounts per Cloud Run service; no service runs with project-owner-equivalent permissions.</w:t>
            </w:r>
          </w:p>
        </w:tc>
      </w:tr>
      <w:tr>
        <w:tc>
          <w:tcPr>
            <w:tcW w:type="pct" w:w="22%"/>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NFR-SEC-003</w:t>
            </w:r>
          </w:p>
        </w:tc>
        <w:tc>
          <w:tcPr>
            <w:tcW w:type="pct" w:w="78%"/>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Rate limiting and abuse monitoring active from the Phase 1 production milestone (ties to FR-SEC-001).</w:t>
            </w:r>
          </w:p>
        </w:tc>
      </w:tr>
      <w:tr>
        <w:tc>
          <w:tcPr>
            <w:tcW w:type="pct" w:w="22%"/>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NFR-SEC-004</w:t>
            </w:r>
          </w:p>
        </w:tc>
        <w:tc>
          <w:tcPr>
            <w:tcW w:type="pct" w:w="78%"/>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Admin panel access requires a separate, more restrictive auth path than the public chat interface.</w:t>
            </w:r>
          </w:p>
        </w:tc>
      </w:tr>
      <w:tr>
        <w:tc>
          <w:tcPr>
            <w:tcW w:type="pct" w:w="22%"/>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NFR-SEC-005</w:t>
            </w:r>
          </w:p>
        </w:tc>
        <w:tc>
          <w:tcPr>
            <w:tcW w:type="pct" w:w="78%"/>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Dependency and container-image scanning in CI before any production deploy.</w:t>
            </w:r>
          </w:p>
        </w:tc>
      </w:tr>
    </w:tbl>
    <w:p>
      <w:pPr>
        <w:pStyle w:val="Heading2"/>
        <w:spacing w:after="160" w:before="360"/>
      </w:pPr>
      <w:r>
        <w:rPr>
          <w:rFonts w:ascii="Cambria" w:cs="Cambria" w:eastAsia="Cambria" w:hAnsi="Cambria"/>
          <w:b/>
          <w:bCs/>
          <w:color w:val="1B3A5C"/>
          <w:sz w:val="26"/>
          <w:szCs w:val="26"/>
        </w:rPr>
        <w:t xml:space="preserve">5.5 Legal &amp; Compliance</w:t>
      </w:r>
    </w:p>
    <w:tbl>
      <w:tblPr>
        <w:tblW w:type="pct" w:w="100%"/>
        <w:tblBorders>
          <w:top w:val="single" w:color="D7DEE6" w:sz="4"/>
          <w:left w:val="single" w:color="D7DEE6" w:sz="4"/>
          <w:bottom w:val="single" w:color="D7DEE6" w:sz="4"/>
          <w:right w:val="single" w:color="D7DEE6" w:sz="4"/>
          <w:insideH w:val="single" w:color="D7DEE6" w:sz="4"/>
          <w:insideV w:val="single" w:color="D7DEE6" w:sz="4"/>
        </w:tblBorders>
      </w:tblPr>
      <w:tblGrid>
        <w:gridCol w:w="100"/>
        <w:gridCol w:w="100"/>
      </w:tblGrid>
      <w:tr>
        <w:trPr>
          <w:tblHeader/>
        </w:trPr>
        <w:tc>
          <w:tcPr>
            <w:tcW w:type="pct" w:w="22%"/>
            <w:shd w:fill="1B3A5C" w:val="clear"/>
            <w:tcMar>
              <w:top w:type="dxa" w:w="90"/>
              <w:left w:type="dxa" w:w="110"/>
              <w:bottom w:type="dxa" w:w="90"/>
              <w:right w:type="dxa" w:w="110"/>
            </w:tcMar>
            <w:vAlign w:val="center"/>
          </w:tcPr>
          <w:p>
            <w:pPr>
              <w:spacing w:after="0"/>
              <w:jc w:val="left"/>
            </w:pPr>
            <w:r>
              <w:rPr>
                <w:rFonts w:ascii="Calibri" w:cs="Calibri" w:eastAsia="Calibri" w:hAnsi="Calibri"/>
                <w:b/>
                <w:bCs/>
                <w:i w:val="false"/>
                <w:iCs w:val="false"/>
                <w:color w:val="FFFFFF"/>
                <w:sz w:val="19"/>
                <w:szCs w:val="19"/>
              </w:rPr>
              <w:t xml:space="preserve">ID</w:t>
            </w:r>
          </w:p>
        </w:tc>
        <w:tc>
          <w:tcPr>
            <w:tcW w:type="pct" w:w="78%"/>
            <w:shd w:fill="1B3A5C" w:val="clear"/>
            <w:tcMar>
              <w:top w:type="dxa" w:w="90"/>
              <w:left w:type="dxa" w:w="110"/>
              <w:bottom w:type="dxa" w:w="90"/>
              <w:right w:type="dxa" w:w="110"/>
            </w:tcMar>
            <w:vAlign w:val="center"/>
          </w:tcPr>
          <w:p>
            <w:pPr>
              <w:spacing w:after="0"/>
              <w:jc w:val="left"/>
            </w:pPr>
            <w:r>
              <w:rPr>
                <w:rFonts w:ascii="Calibri" w:cs="Calibri" w:eastAsia="Calibri" w:hAnsi="Calibri"/>
                <w:b/>
                <w:bCs/>
                <w:i w:val="false"/>
                <w:iCs w:val="false"/>
                <w:color w:val="FFFFFF"/>
                <w:sz w:val="19"/>
                <w:szCs w:val="19"/>
              </w:rPr>
              <w:t xml:space="preserve">Requirement</w:t>
            </w:r>
          </w:p>
        </w:tc>
      </w:tr>
      <w:tr>
        <w:tc>
          <w:tcPr>
            <w:tcW w:type="pct" w:w="22%"/>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NFR-LEGAL-001</w:t>
            </w:r>
          </w:p>
        </w:tc>
        <w:tc>
          <w:tcPr>
            <w:tcW w:type="pct" w:w="78%"/>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DPDP Act, 2023 alignment: data minimization, purpose limitation, and a documented redaction/exclusion policy for personal data in judgments before Phase 4 ships (ties to FR-ING-006).</w:t>
            </w:r>
          </w:p>
        </w:tc>
      </w:tr>
      <w:tr>
        <w:tc>
          <w:tcPr>
            <w:tcW w:type="pct" w:w="22%"/>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NFR-LEGAL-002</w:t>
            </w:r>
          </w:p>
        </w:tc>
        <w:tc>
          <w:tcPr>
            <w:tcW w:type="pct" w:w="78%"/>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No feature is positioned as legal advice; UPL-avoidance disclaimers are enforced product-wide, not opt-in copy a designer can drop (ties to FR-SEC-004).</w:t>
            </w:r>
          </w:p>
        </w:tc>
      </w:tr>
      <w:tr>
        <w:tc>
          <w:tcPr>
            <w:tcW w:type="pct" w:w="22%"/>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NFR-LEGAL-003</w:t>
            </w:r>
          </w:p>
        </w:tc>
        <w:tc>
          <w:tcPr>
            <w:tcW w:type="pct" w:w="78%"/>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Every crawled source has a logged ToS/robots.txt compliance status before ingestion (ties to FR-ING-001).</w:t>
            </w:r>
          </w:p>
        </w:tc>
      </w:tr>
      <w:tr>
        <w:tc>
          <w:tcPr>
            <w:tcW w:type="pct" w:w="22%"/>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NFR-LEGAL-004</w:t>
            </w:r>
          </w:p>
        </w:tc>
        <w:tc>
          <w:tcPr>
            <w:tcW w:type="pct" w:w="78%"/>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Accessibility: WCAG 2.1 AA conformance for the public-facing web interface.</w:t>
            </w:r>
          </w:p>
        </w:tc>
      </w:tr>
    </w:tbl>
    <w:p>
      <w:pPr>
        <w:pStyle w:val="Heading2"/>
        <w:spacing w:after="160" w:before="360"/>
      </w:pPr>
      <w:r>
        <w:rPr>
          <w:rFonts w:ascii="Cambria" w:cs="Cambria" w:eastAsia="Cambria" w:hAnsi="Cambria"/>
          <w:b/>
          <w:bCs/>
          <w:color w:val="1B3A5C"/>
          <w:sz w:val="26"/>
          <w:szCs w:val="26"/>
        </w:rPr>
        <w:t xml:space="preserve">5.6 Usability &amp; Accessibility</w:t>
      </w:r>
    </w:p>
    <w:p>
      <w:pPr>
        <w:pStyle w:val="ListParagraph"/>
        <w:numPr>
          <w:ilvl w:val="0"/>
          <w:numId w:val="1"/>
        </w:numPr>
        <w:spacing w:after="90" w:line="276"/>
      </w:pPr>
      <w:r>
        <w:rPr>
          <w:rFonts w:ascii="Calibri" w:cs="Calibri" w:eastAsia="Calibri" w:hAnsi="Calibri"/>
          <w:b w:val="false"/>
          <w:bCs w:val="false"/>
          <w:i w:val="false"/>
          <w:iCs w:val="false"/>
          <w:color w:val="1F2937"/>
          <w:sz w:val="22"/>
          <w:szCs w:val="22"/>
        </w:rPr>
        <w:t xml:space="preserve">First-answer time (question submitted to first useful content visible) is treated as a north-star usability metric, tracked from Phase 1.</w:t>
      </w:r>
    </w:p>
    <w:p>
      <w:pPr>
        <w:pStyle w:val="ListParagraph"/>
        <w:numPr>
          <w:ilvl w:val="0"/>
          <w:numId w:val="1"/>
        </w:numPr>
        <w:spacing w:after="90" w:line="276"/>
      </w:pPr>
      <w:r>
        <w:rPr>
          <w:rFonts w:ascii="Calibri" w:cs="Calibri" w:eastAsia="Calibri" w:hAnsi="Calibri"/>
          <w:b w:val="false"/>
          <w:bCs w:val="false"/>
          <w:i w:val="false"/>
          <w:iCs w:val="false"/>
          <w:color w:val="1F2937"/>
          <w:sz w:val="22"/>
          <w:szCs w:val="22"/>
        </w:rPr>
        <w:t xml:space="preserve">Citation UI must make the source verifiable in at most one click from any answer.</w:t>
      </w:r>
    </w:p>
    <w:p>
      <w:pPr>
        <w:pStyle w:val="Heading2"/>
        <w:spacing w:after="160" w:before="360"/>
      </w:pPr>
      <w:r>
        <w:rPr>
          <w:rFonts w:ascii="Cambria" w:cs="Cambria" w:eastAsia="Cambria" w:hAnsi="Cambria"/>
          <w:b/>
          <w:bCs/>
          <w:color w:val="1B3A5C"/>
          <w:sz w:val="26"/>
          <w:szCs w:val="26"/>
        </w:rPr>
        <w:t xml:space="preserve">5.7 Maintainability &amp; Extensibility</w:t>
      </w:r>
    </w:p>
    <w:p>
      <w:pPr>
        <w:pStyle w:val="ListParagraph"/>
        <w:numPr>
          <w:ilvl w:val="0"/>
          <w:numId w:val="1"/>
        </w:numPr>
        <w:spacing w:after="90" w:line="276"/>
      </w:pPr>
      <w:r>
        <w:rPr>
          <w:rFonts w:ascii="Calibri" w:cs="Calibri" w:eastAsia="Calibri" w:hAnsi="Calibri"/>
          <w:b w:val="false"/>
          <w:bCs w:val="false"/>
          <w:i w:val="false"/>
          <w:iCs w:val="false"/>
          <w:color w:val="1F2937"/>
          <w:sz w:val="22"/>
          <w:szCs w:val="22"/>
        </w:rPr>
        <w:t xml:space="preserve">Adding a new law/regulation is a data-ingestion-configuration task, never a retrieval or generation code change, from Phase 3 onward (ties to FR-ING-005).</w:t>
      </w:r>
    </w:p>
    <w:p>
      <w:pPr>
        <w:pStyle w:val="ListParagraph"/>
        <w:numPr>
          <w:ilvl w:val="0"/>
          <w:numId w:val="1"/>
        </w:numPr>
        <w:spacing w:after="90" w:line="276"/>
      </w:pPr>
      <w:r>
        <w:rPr>
          <w:rFonts w:ascii="Calibri" w:cs="Calibri" w:eastAsia="Calibri" w:hAnsi="Calibri"/>
          <w:b w:val="false"/>
          <w:bCs w:val="false"/>
          <w:i w:val="false"/>
          <w:iCs w:val="false"/>
          <w:color w:val="1F2937"/>
          <w:sz w:val="22"/>
          <w:szCs w:val="22"/>
        </w:rPr>
        <w:t xml:space="preserve">Services are added to the stack only when a specific, named need arises — Elasticsearch, Celery/Redis, Prometheus/Grafana, and a dedicated graph database are all explicitly deferred until a phase's requirements demand them (SDD ADR-005/006/007/008), not provisioned speculatively.</w:t>
      </w:r>
    </w:p>
    <w:p>
      <w:pPr>
        <w:pStyle w:val="Heading2"/>
        <w:spacing w:after="160" w:before="360"/>
      </w:pPr>
      <w:r>
        <w:rPr>
          <w:rFonts w:ascii="Cambria" w:cs="Cambria" w:eastAsia="Cambria" w:hAnsi="Cambria"/>
          <w:b/>
          <w:bCs/>
          <w:color w:val="1B3A5C"/>
          <w:sz w:val="26"/>
          <w:szCs w:val="26"/>
        </w:rPr>
        <w:t xml:space="preserve">5.8 Portability</w:t>
      </w:r>
    </w:p>
    <w:p>
      <w:pPr>
        <w:pStyle w:val="ListParagraph"/>
        <w:numPr>
          <w:ilvl w:val="0"/>
          <w:numId w:val="1"/>
        </w:numPr>
        <w:spacing w:after="90" w:line="276"/>
      </w:pPr>
      <w:r>
        <w:rPr>
          <w:rFonts w:ascii="Calibri" w:cs="Calibri" w:eastAsia="Calibri" w:hAnsi="Calibri"/>
          <w:b w:val="false"/>
          <w:bCs w:val="false"/>
          <w:i w:val="false"/>
          <w:iCs w:val="false"/>
          <w:color w:val="1F2937"/>
          <w:sz w:val="22"/>
          <w:szCs w:val="22"/>
        </w:rPr>
        <w:t xml:space="preserve">Local development fully reproducible via Docker Compose, independent of any single team member's machine.</w:t>
      </w:r>
    </w:p>
    <w:p>
      <w:pPr>
        <w:pStyle w:val="ListParagraph"/>
        <w:numPr>
          <w:ilvl w:val="0"/>
          <w:numId w:val="1"/>
        </w:numPr>
        <w:spacing w:after="90" w:line="276"/>
      </w:pPr>
      <w:r>
        <w:rPr>
          <w:rFonts w:ascii="Calibri" w:cs="Calibri" w:eastAsia="Calibri" w:hAnsi="Calibri"/>
          <w:b w:val="false"/>
          <w:bCs w:val="false"/>
          <w:i w:val="false"/>
          <w:iCs w:val="false"/>
          <w:color w:val="1F2937"/>
          <w:sz w:val="22"/>
          <w:szCs w:val="22"/>
        </w:rPr>
        <w:t xml:space="preserve">No hard dependency on GCP-proprietary APIs at the data layer — PostgreSQL and Qdrant are both portable to another cloud or self-hosted if ever required; only the generation call (Vertex AI) and object storage (GCS) are GCP-specific, and both sit behind a thin internal interface.</w:t>
      </w:r>
    </w:p>
    <w:p>
      <w:pPr>
        <w:pStyle w:val="Heading2"/>
        <w:spacing w:after="160" w:before="360"/>
      </w:pPr>
      <w:r>
        <w:rPr>
          <w:rFonts w:ascii="Cambria" w:cs="Cambria" w:eastAsia="Cambria" w:hAnsi="Cambria"/>
          <w:b/>
          <w:bCs/>
          <w:color w:val="1B3A5C"/>
          <w:sz w:val="26"/>
          <w:szCs w:val="26"/>
        </w:rPr>
        <w:t xml:space="preserve">5.9 Auditability &amp; Explainability</w:t>
      </w:r>
    </w:p>
    <w:p>
      <w:pPr>
        <w:pStyle w:val="ListParagraph"/>
        <w:numPr>
          <w:ilvl w:val="0"/>
          <w:numId w:val="1"/>
        </w:numPr>
        <w:spacing w:after="90" w:line="276"/>
      </w:pPr>
      <w:r>
        <w:rPr>
          <w:rFonts w:ascii="Calibri" w:cs="Calibri" w:eastAsia="Calibri" w:hAnsi="Calibri"/>
          <w:b w:val="false"/>
          <w:bCs w:val="false"/>
          <w:i w:val="false"/>
          <w:iCs w:val="false"/>
          <w:color w:val="1F2937"/>
          <w:sz w:val="22"/>
          <w:szCs w:val="22"/>
        </w:rPr>
        <w:t xml:space="preserve">Every answer is traceable to the exact chunks retrieved, their metadata, the faithfulness-check result, and the model/version used to generate it — logged, not just displayed.</w:t>
      </w:r>
    </w:p>
    <w:p>
      <w:pPr>
        <w:pStyle w:val="ListParagraph"/>
        <w:numPr>
          <w:ilvl w:val="0"/>
          <w:numId w:val="1"/>
        </w:numPr>
        <w:spacing w:after="90" w:line="276"/>
      </w:pPr>
      <w:r>
        <w:rPr>
          <w:rFonts w:ascii="Calibri" w:cs="Calibri" w:eastAsia="Calibri" w:hAnsi="Calibri"/>
          <w:b w:val="false"/>
          <w:bCs w:val="false"/>
          <w:i w:val="false"/>
          <w:iCs w:val="false"/>
          <w:color w:val="1F2937"/>
          <w:sz w:val="22"/>
          <w:szCs w:val="22"/>
        </w:rPr>
        <w:t xml:space="preserve">Retrieval logs are retained long enough to support the evaluation framework's regression tracking (FR-EVAL-003).</w:t>
      </w:r>
    </w:p>
    <w:p>
      <w:pPr>
        <w:pStyle w:val="Heading1"/>
        <w:pBdr>
          <w:bottom w:val="single" w:color="B8892B" w:sz="10" w:space="6"/>
        </w:pBdr>
        <w:spacing w:after="220" w:before="480"/>
      </w:pPr>
      <w:r>
        <w:rPr>
          <w:rFonts w:ascii="Cambria" w:cs="Cambria" w:eastAsia="Cambria" w:hAnsi="Cambria"/>
          <w:b/>
          <w:bCs/>
          <w:color w:val="1B3A5C"/>
          <w:sz w:val="32"/>
          <w:szCs w:val="32"/>
        </w:rPr>
        <w:t xml:space="preserve">6. Evaluation Criteria</w:t>
      </w:r>
    </w:p>
    <w:p>
      <w:pPr>
        <w:spacing w:after="160" w:before="0" w:line="276"/>
        <w:jc w:val="left"/>
      </w:pPr>
      <w:r>
        <w:rPr>
          <w:rFonts w:ascii="Calibri" w:cs="Calibri" w:eastAsia="Calibri" w:hAnsi="Calibri"/>
          <w:color w:val="1F2937"/>
          <w:sz w:val="22"/>
          <w:szCs w:val="22"/>
        </w:rPr>
        <w:t xml:space="preserve">These are the target numbers a phase's retrieval and generation quality must hit before that phase is considered production-ready (cross-referenced in the Project Workflow document's per-phase Definition of Done).</w:t>
      </w:r>
    </w:p>
    <w:tbl>
      <w:tblPr>
        <w:tblW w:type="pct" w:w="100%"/>
        <w:tblBorders>
          <w:top w:val="single" w:color="D7DEE6" w:sz="4"/>
          <w:left w:val="single" w:color="D7DEE6" w:sz="4"/>
          <w:bottom w:val="single" w:color="D7DEE6" w:sz="4"/>
          <w:right w:val="single" w:color="D7DEE6" w:sz="4"/>
          <w:insideH w:val="single" w:color="D7DEE6" w:sz="4"/>
          <w:insideV w:val="single" w:color="D7DEE6" w:sz="4"/>
        </w:tblBorders>
      </w:tblPr>
      <w:tblGrid>
        <w:gridCol w:w="100"/>
        <w:gridCol w:w="100"/>
        <w:gridCol w:w="100"/>
      </w:tblGrid>
      <w:tr>
        <w:trPr>
          <w:tblHeader/>
        </w:trPr>
        <w:tc>
          <w:tcPr>
            <w:tcW w:type="pct" w:w="30%"/>
            <w:shd w:fill="1B3A5C" w:val="clear"/>
            <w:tcMar>
              <w:top w:type="dxa" w:w="90"/>
              <w:left w:type="dxa" w:w="110"/>
              <w:bottom w:type="dxa" w:w="90"/>
              <w:right w:type="dxa" w:w="110"/>
            </w:tcMar>
            <w:vAlign w:val="center"/>
          </w:tcPr>
          <w:p>
            <w:pPr>
              <w:spacing w:after="0"/>
              <w:jc w:val="left"/>
            </w:pPr>
            <w:r>
              <w:rPr>
                <w:rFonts w:ascii="Calibri" w:cs="Calibri" w:eastAsia="Calibri" w:hAnsi="Calibri"/>
                <w:b/>
                <w:bCs/>
                <w:i w:val="false"/>
                <w:iCs w:val="false"/>
                <w:color w:val="FFFFFF"/>
                <w:sz w:val="19"/>
                <w:szCs w:val="19"/>
              </w:rPr>
              <w:t xml:space="preserve">Metric</w:t>
            </w:r>
          </w:p>
        </w:tc>
        <w:tc>
          <w:tcPr>
            <w:tcW w:type="pct" w:w="28%"/>
            <w:shd w:fill="1B3A5C" w:val="clear"/>
            <w:tcMar>
              <w:top w:type="dxa" w:w="90"/>
              <w:left w:type="dxa" w:w="110"/>
              <w:bottom w:type="dxa" w:w="90"/>
              <w:right w:type="dxa" w:w="110"/>
            </w:tcMar>
            <w:vAlign w:val="center"/>
          </w:tcPr>
          <w:p>
            <w:pPr>
              <w:spacing w:after="0"/>
              <w:jc w:val="left"/>
            </w:pPr>
            <w:r>
              <w:rPr>
                <w:rFonts w:ascii="Calibri" w:cs="Calibri" w:eastAsia="Calibri" w:hAnsi="Calibri"/>
                <w:b/>
                <w:bCs/>
                <w:i w:val="false"/>
                <w:iCs w:val="false"/>
                <w:color w:val="FFFFFF"/>
                <w:sz w:val="19"/>
                <w:szCs w:val="19"/>
              </w:rPr>
              <w:t xml:space="preserve">Target</w:t>
            </w:r>
          </w:p>
        </w:tc>
        <w:tc>
          <w:tcPr>
            <w:tcW w:type="pct" w:w="42%"/>
            <w:shd w:fill="1B3A5C" w:val="clear"/>
            <w:tcMar>
              <w:top w:type="dxa" w:w="90"/>
              <w:left w:type="dxa" w:w="110"/>
              <w:bottom w:type="dxa" w:w="90"/>
              <w:right w:type="dxa" w:w="110"/>
            </w:tcMar>
            <w:vAlign w:val="center"/>
          </w:tcPr>
          <w:p>
            <w:pPr>
              <w:spacing w:after="0"/>
              <w:jc w:val="left"/>
            </w:pPr>
            <w:r>
              <w:rPr>
                <w:rFonts w:ascii="Calibri" w:cs="Calibri" w:eastAsia="Calibri" w:hAnsi="Calibri"/>
                <w:b/>
                <w:bCs/>
                <w:i w:val="false"/>
                <w:iCs w:val="false"/>
                <w:color w:val="FFFFFF"/>
                <w:sz w:val="19"/>
                <w:szCs w:val="19"/>
              </w:rPr>
              <w:t xml:space="preserve">Measured against</w:t>
            </w:r>
          </w:p>
        </w:tc>
      </w:tr>
      <w:tr>
        <w:tc>
          <w:tcPr>
            <w:tcW w:type="pct" w:w="30%"/>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Recall@5 (hand-labeled set)</w:t>
            </w:r>
          </w:p>
        </w:tc>
        <w:tc>
          <w:tcPr>
            <w:tcW w:type="pct" w:w="28%"/>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&gt; 85%</w:t>
            </w:r>
          </w:p>
        </w:tc>
        <w:tc>
          <w:tcPr>
            <w:tcW w:type="pct" w:w="42%"/>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FR-EVAL-001 tiered set, direct-lookup + paraphrased tiers</w:t>
            </w:r>
          </w:p>
        </w:tc>
      </w:tr>
      <w:tr>
        <w:tc>
          <w:tcPr>
            <w:tcW w:type="pct" w:w="30%"/>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Citation faithfulness</w:t>
            </w:r>
          </w:p>
        </w:tc>
        <w:tc>
          <w:tcPr>
            <w:tcW w:type="pct" w:w="28%"/>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&gt; 90%</w:t>
            </w:r>
          </w:p>
        </w:tc>
        <w:tc>
          <w:tcPr>
            <w:tcW w:type="pct" w:w="42%"/>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FR-FAITH-001 pass rate, logged per FR-FAITH-002</w:t>
            </w:r>
          </w:p>
        </w:tc>
      </w:tr>
      <w:tr>
        <w:tc>
          <w:tcPr>
            <w:tcW w:type="pct" w:w="30%"/>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Out-of-scope refusal accuracy</w:t>
            </w:r>
          </w:p>
        </w:tc>
        <w:tc>
          <w:tcPr>
            <w:tcW w:type="pct" w:w="28%"/>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&gt; 95%</w:t>
            </w:r>
          </w:p>
        </w:tc>
        <w:tc>
          <w:tcPr>
            <w:tcW w:type="pct" w:w="42%"/>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FR-EVAL-001 adversarial/out-of-scope tier</w:t>
            </w:r>
          </w:p>
        </w:tc>
      </w:tr>
      <w:tr>
        <w:tc>
          <w:tcPr>
            <w:tcW w:type="pct" w:w="30%"/>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BBL secondary knowledge check (English subset)</w:t>
            </w:r>
          </w:p>
        </w:tc>
        <w:tc>
          <w:tcPr>
            <w:tcW w:type="pct" w:w="28%"/>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Reported, directional target &gt; 70%</w:t>
            </w:r>
          </w:p>
        </w:tc>
        <w:tc>
          <w:tcPr>
            <w:tcW w:type="pct" w:w="42%"/>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FR-EVAL-002</w:t>
            </w:r>
          </w:p>
        </w:tc>
      </w:tr>
      <w:tr>
        <w:tc>
          <w:tcPr>
            <w:tcW w:type="pct" w:w="30%"/>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Retrieval latency, p95</w:t>
            </w:r>
          </w:p>
        </w:tc>
        <w:tc>
          <w:tcPr>
            <w:tcW w:type="pct" w:w="28%"/>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&lt; 500 ms</w:t>
            </w:r>
          </w:p>
        </w:tc>
        <w:tc>
          <w:tcPr>
            <w:tcW w:type="pct" w:w="42%"/>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NFR-PERF-001, production monitoring</w:t>
            </w:r>
          </w:p>
        </w:tc>
      </w:tr>
    </w:tbl>
    <w:tbl>
      <w:tblPr>
        <w:tblW w:type="pct" w:w="100%"/>
        <w:tblBorders>
          <w:top w:val="single" w:color="D9EEED" w:sz="4"/>
          <w:left w:val="single" w:color="0E7C7B" w:sz="36"/>
          <w:bottom w:val="single" w:color="D9EEED" w:sz="4"/>
          <w:right w:val="single" w:color="D9EEED" w:sz="4"/>
          <w:insideH w:val="none" w:color="FFFFFF" w:sz="0"/>
          <w:insideV w:val="none" w:color="FFFFFF" w:sz="0"/>
        </w:tblBorders>
      </w:tblPr>
      <w:tblGrid>
        <w:gridCol w:w="100"/>
      </w:tblGrid>
      <w:tr>
        <w:tc>
          <w:tcPr>
            <w:shd w:fill="D9EEED" w:val="clear"/>
            <w:tcMar>
              <w:top w:type="dxa" w:w="120"/>
              <w:left w:type="dxa" w:w="180"/>
              <w:bottom w:type="dxa" w:w="120"/>
              <w:right w:type="dxa" w:w="180"/>
            </w:tcMar>
          </w:tcPr>
          <w:p>
            <w:pPr>
              <w:spacing w:after="60"/>
            </w:pPr>
            <w:r>
              <w:rPr>
                <w:rFonts w:ascii="Calibri" w:cs="Calibri" w:eastAsia="Calibri" w:hAnsi="Calibri"/>
                <w:b/>
                <w:bCs/>
                <w:color w:val="122840"/>
                <w:sz w:val="19"/>
                <w:szCs w:val="19"/>
              </w:rPr>
              <w:t xml:space="preserve">NOTE — Why explicit numeric targets matter here</w:t>
            </w:r>
          </w:p>
          <w:p>
            <w:pPr>
              <w:spacing w:after="0"/>
            </w:pPr>
            <w:r>
              <w:rPr>
                <w:rFonts w:ascii="Calibri" w:cs="Calibri" w:eastAsia="Calibri" w:hAnsi="Calibri"/>
                <w:color w:val="1F2937"/>
                <w:sz w:val="19"/>
                <w:szCs w:val="19"/>
              </w:rPr>
              <w:t xml:space="preserve">A vague evaluation plan (“we'll check if it seems good”) was the single biggest gap identified during initial planning. Numeric, pre-committed targets are what make Phase 1–2 a defensible, demonstrable piece of work rather than a subjective claim.</w:t>
            </w:r>
          </w:p>
        </w:tc>
      </w:tr>
    </w:tbl>
    <w:p>
      <w:pPr>
        <w:spacing w:after="160"/>
      </w:pPr>
    </w:p>
    <w:p>
      <w:r>
        <w:br w:type="page"/>
      </w:r>
    </w:p>
    <w:p>
      <w:pPr>
        <w:pStyle w:val="Heading1"/>
        <w:pBdr>
          <w:bottom w:val="single" w:color="B8892B" w:sz="10" w:space="6"/>
        </w:pBdr>
        <w:spacing w:after="220" w:before="480"/>
      </w:pPr>
      <w:r>
        <w:rPr>
          <w:rFonts w:ascii="Cambria" w:cs="Cambria" w:eastAsia="Cambria" w:hAnsi="Cambria"/>
          <w:b/>
          <w:bCs/>
          <w:color w:val="1B3A5C"/>
          <w:sz w:val="32"/>
          <w:szCs w:val="32"/>
        </w:rPr>
        <w:t xml:space="preserve">Appendix A — Requirements Traceability Summary</w:t>
      </w:r>
    </w:p>
    <w:p>
      <w:pPr>
        <w:spacing w:after="160" w:before="0" w:line="276"/>
        <w:jc w:val="left"/>
      </w:pPr>
      <w:r>
        <w:rPr>
          <w:rFonts w:ascii="Calibri" w:cs="Calibri" w:eastAsia="Calibri" w:hAnsi="Calibri"/>
          <w:color w:val="1F2937"/>
          <w:sz w:val="22"/>
          <w:szCs w:val="22"/>
        </w:rPr>
        <w:t xml:space="preserve">Full per-requirement phase mapping is maintained alongside the Project Workflow document's phase task lists; the table below summarizes module-to-phase entry points.</w:t>
      </w:r>
    </w:p>
    <w:tbl>
      <w:tblPr>
        <w:tblW w:type="pct" w:w="100%"/>
        <w:tblBorders>
          <w:top w:val="single" w:color="D7DEE6" w:sz="4"/>
          <w:left w:val="single" w:color="D7DEE6" w:sz="4"/>
          <w:bottom w:val="single" w:color="D7DEE6" w:sz="4"/>
          <w:right w:val="single" w:color="D7DEE6" w:sz="4"/>
          <w:insideH w:val="single" w:color="D7DEE6" w:sz="4"/>
          <w:insideV w:val="single" w:color="D7DEE6" w:sz="4"/>
        </w:tblBorders>
      </w:tblPr>
      <w:tblGrid>
        <w:gridCol w:w="100"/>
        <w:gridCol w:w="100"/>
        <w:gridCol w:w="100"/>
      </w:tblGrid>
      <w:tr>
        <w:trPr>
          <w:tblHeader/>
        </w:trPr>
        <w:tc>
          <w:tcPr>
            <w:tcW w:type="pct" w:w="28%"/>
            <w:shd w:fill="1B3A5C" w:val="clear"/>
            <w:tcMar>
              <w:top w:type="dxa" w:w="90"/>
              <w:left w:type="dxa" w:w="110"/>
              <w:bottom w:type="dxa" w:w="90"/>
              <w:right w:type="dxa" w:w="110"/>
            </w:tcMar>
            <w:vAlign w:val="center"/>
          </w:tcPr>
          <w:p>
            <w:pPr>
              <w:spacing w:after="0"/>
              <w:jc w:val="left"/>
            </w:pPr>
            <w:r>
              <w:rPr>
                <w:rFonts w:ascii="Calibri" w:cs="Calibri" w:eastAsia="Calibri" w:hAnsi="Calibri"/>
                <w:b/>
                <w:bCs/>
                <w:i w:val="false"/>
                <w:iCs w:val="false"/>
                <w:color w:val="FFFFFF"/>
                <w:sz w:val="19"/>
                <w:szCs w:val="19"/>
              </w:rPr>
              <w:t xml:space="preserve">Module</w:t>
            </w:r>
          </w:p>
        </w:tc>
        <w:tc>
          <w:tcPr>
            <w:tcW w:type="pct" w:w="22%"/>
            <w:shd w:fill="1B3A5C" w:val="clear"/>
            <w:tcMar>
              <w:top w:type="dxa" w:w="90"/>
              <w:left w:type="dxa" w:w="110"/>
              <w:bottom w:type="dxa" w:w="90"/>
              <w:right w:type="dxa" w:w="110"/>
            </w:tcMar>
            <w:vAlign w:val="center"/>
          </w:tcPr>
          <w:p>
            <w:pPr>
              <w:spacing w:after="0"/>
              <w:jc w:val="left"/>
            </w:pPr>
            <w:r>
              <w:rPr>
                <w:rFonts w:ascii="Calibri" w:cs="Calibri" w:eastAsia="Calibri" w:hAnsi="Calibri"/>
                <w:b/>
                <w:bCs/>
                <w:i w:val="false"/>
                <w:iCs w:val="false"/>
                <w:color w:val="FFFFFF"/>
                <w:sz w:val="19"/>
                <w:szCs w:val="19"/>
              </w:rPr>
              <w:t xml:space="preserve">First required in</w:t>
            </w:r>
          </w:p>
        </w:tc>
        <w:tc>
          <w:tcPr>
            <w:tcW w:type="pct" w:w="50%"/>
            <w:shd w:fill="1B3A5C" w:val="clear"/>
            <w:tcMar>
              <w:top w:type="dxa" w:w="90"/>
              <w:left w:type="dxa" w:w="110"/>
              <w:bottom w:type="dxa" w:w="90"/>
              <w:right w:type="dxa" w:w="110"/>
            </w:tcMar>
            <w:vAlign w:val="center"/>
          </w:tcPr>
          <w:p>
            <w:pPr>
              <w:spacing w:after="0"/>
              <w:jc w:val="left"/>
            </w:pPr>
            <w:r>
              <w:rPr>
                <w:rFonts w:ascii="Calibri" w:cs="Calibri" w:eastAsia="Calibri" w:hAnsi="Calibri"/>
                <w:b/>
                <w:bCs/>
                <w:i w:val="false"/>
                <w:iCs w:val="false"/>
                <w:color w:val="FFFFFF"/>
                <w:sz w:val="19"/>
                <w:szCs w:val="19"/>
              </w:rPr>
              <w:t xml:space="preserve">Primary owner (see Role Division doc)</w:t>
            </w:r>
          </w:p>
        </w:tc>
      </w:tr>
      <w:tr>
        <w:tc>
          <w:tcPr>
            <w:tcW w:type="pct" w:w="28%"/>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Ingestion (FR-ING)</w:t>
            </w:r>
          </w:p>
        </w:tc>
        <w:tc>
          <w:tcPr>
            <w:tcW w:type="pct" w:w="22%"/>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Phase 0–1</w:t>
            </w:r>
          </w:p>
        </w:tc>
        <w:tc>
          <w:tcPr>
            <w:tcW w:type="pct" w:w="50%"/>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Member 3 — Backend/Data</w:t>
            </w:r>
          </w:p>
        </w:tc>
      </w:tr>
      <w:tr>
        <w:tc>
          <w:tcPr>
            <w:tcW w:type="pct" w:w="28%"/>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Processing (FR-PROC)</w:t>
            </w:r>
          </w:p>
        </w:tc>
        <w:tc>
          <w:tcPr>
            <w:tcW w:type="pct" w:w="22%"/>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Phase 1</w:t>
            </w:r>
          </w:p>
        </w:tc>
        <w:tc>
          <w:tcPr>
            <w:tcW w:type="pct" w:w="50%"/>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Member 1 — AI/ML/MLOps</w:t>
            </w:r>
          </w:p>
        </w:tc>
      </w:tr>
      <w:tr>
        <w:tc>
          <w:tcPr>
            <w:tcW w:type="pct" w:w="28%"/>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Retrieval (FR-RET)</w:t>
            </w:r>
          </w:p>
        </w:tc>
        <w:tc>
          <w:tcPr>
            <w:tcW w:type="pct" w:w="22%"/>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Phase 1–2</w:t>
            </w:r>
          </w:p>
        </w:tc>
        <w:tc>
          <w:tcPr>
            <w:tcW w:type="pct" w:w="50%"/>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Member 1 — AI/ML/MLOps</w:t>
            </w:r>
          </w:p>
        </w:tc>
      </w:tr>
      <w:tr>
        <w:tc>
          <w:tcPr>
            <w:tcW w:type="pct" w:w="28%"/>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Generation (FR-GEN)</w:t>
            </w:r>
          </w:p>
        </w:tc>
        <w:tc>
          <w:tcPr>
            <w:tcW w:type="pct" w:w="22%"/>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Phase 1</w:t>
            </w:r>
          </w:p>
        </w:tc>
        <w:tc>
          <w:tcPr>
            <w:tcW w:type="pct" w:w="50%"/>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Member 1 — AI/ML/MLOps</w:t>
            </w:r>
          </w:p>
        </w:tc>
      </w:tr>
      <w:tr>
        <w:tc>
          <w:tcPr>
            <w:tcW w:type="pct" w:w="28%"/>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Versioning (FR-VER)</w:t>
            </w:r>
          </w:p>
        </w:tc>
        <w:tc>
          <w:tcPr>
            <w:tcW w:type="pct" w:w="22%"/>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Phase 2</w:t>
            </w:r>
          </w:p>
        </w:tc>
        <w:tc>
          <w:tcPr>
            <w:tcW w:type="pct" w:w="50%"/>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Member 1 — AI/ML/MLOps</w:t>
            </w:r>
          </w:p>
        </w:tc>
      </w:tr>
      <w:tr>
        <w:tc>
          <w:tcPr>
            <w:tcW w:type="pct" w:w="28%"/>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Faithfulness (FR-FAITH)</w:t>
            </w:r>
          </w:p>
        </w:tc>
        <w:tc>
          <w:tcPr>
            <w:tcW w:type="pct" w:w="22%"/>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Phase 2</w:t>
            </w:r>
          </w:p>
        </w:tc>
        <w:tc>
          <w:tcPr>
            <w:tcW w:type="pct" w:w="50%"/>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Member 1 — AI/ML/MLOps</w:t>
            </w:r>
          </w:p>
        </w:tc>
      </w:tr>
      <w:tr>
        <w:tc>
          <w:tcPr>
            <w:tcW w:type="pct" w:w="28%"/>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UI (FR-UI)</w:t>
            </w:r>
          </w:p>
        </w:tc>
        <w:tc>
          <w:tcPr>
            <w:tcW w:type="pct" w:w="22%"/>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Phase 1</w:t>
            </w:r>
          </w:p>
        </w:tc>
        <w:tc>
          <w:tcPr>
            <w:tcW w:type="pct" w:w="50%"/>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Member 2 — Frontend</w:t>
            </w:r>
          </w:p>
        </w:tc>
      </w:tr>
      <w:tr>
        <w:tc>
          <w:tcPr>
            <w:tcW w:type="pct" w:w="28%"/>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Auth (FR-AUTH)</w:t>
            </w:r>
          </w:p>
        </w:tc>
        <w:tc>
          <w:tcPr>
            <w:tcW w:type="pct" w:w="22%"/>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Phase 1</w:t>
            </w:r>
          </w:p>
        </w:tc>
        <w:tc>
          <w:tcPr>
            <w:tcW w:type="pct" w:w="50%"/>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Member 3 — Backend/Data</w:t>
            </w:r>
          </w:p>
        </w:tc>
      </w:tr>
      <w:tr>
        <w:tc>
          <w:tcPr>
            <w:tcW w:type="pct" w:w="28%"/>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Admin (FR-ADMIN)</w:t>
            </w:r>
          </w:p>
        </w:tc>
        <w:tc>
          <w:tcPr>
            <w:tcW w:type="pct" w:w="22%"/>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Phase 3</w:t>
            </w:r>
          </w:p>
        </w:tc>
        <w:tc>
          <w:tcPr>
            <w:tcW w:type="pct" w:w="50%"/>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Member 3 — Backend/Data</w:t>
            </w:r>
          </w:p>
        </w:tc>
      </w:tr>
      <w:tr>
        <w:tc>
          <w:tcPr>
            <w:tcW w:type="pct" w:w="28%"/>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Feedback (FR-FEED)</w:t>
            </w:r>
          </w:p>
        </w:tc>
        <w:tc>
          <w:tcPr>
            <w:tcW w:type="pct" w:w="22%"/>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Phase 2</w:t>
            </w:r>
          </w:p>
        </w:tc>
        <w:tc>
          <w:tcPr>
            <w:tcW w:type="pct" w:w="50%"/>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Member 3 — Backend/Data</w:t>
            </w:r>
          </w:p>
        </w:tc>
      </w:tr>
      <w:tr>
        <w:tc>
          <w:tcPr>
            <w:tcW w:type="pct" w:w="28%"/>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Safety/Security (FR-SEC)</w:t>
            </w:r>
          </w:p>
        </w:tc>
        <w:tc>
          <w:tcPr>
            <w:tcW w:type="pct" w:w="22%"/>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Phase 1–2</w:t>
            </w:r>
          </w:p>
        </w:tc>
        <w:tc>
          <w:tcPr>
            <w:tcW w:type="pct" w:w="50%"/>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Member 1 + Member 3 (shared)</w:t>
            </w:r>
          </w:p>
        </w:tc>
      </w:tr>
      <w:tr>
        <w:tc>
          <w:tcPr>
            <w:tcW w:type="pct" w:w="28%"/>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Evaluation (FR-EVAL)</w:t>
            </w:r>
          </w:p>
        </w:tc>
        <w:tc>
          <w:tcPr>
            <w:tcW w:type="pct" w:w="22%"/>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Phase 2</w:t>
            </w:r>
          </w:p>
        </w:tc>
        <w:tc>
          <w:tcPr>
            <w:tcW w:type="pct" w:w="50%"/>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Member 1 — AI/ML/MLOps</w:t>
            </w:r>
          </w:p>
        </w:tc>
      </w:tr>
      <w:tr>
        <w:tc>
          <w:tcPr>
            <w:tcW w:type="pct" w:w="28%"/>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Developer API (FR-API)</w:t>
            </w:r>
          </w:p>
        </w:tc>
        <w:tc>
          <w:tcPr>
            <w:tcW w:type="pct" w:w="22%"/>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Phase 6</w:t>
            </w:r>
          </w:p>
        </w:tc>
        <w:tc>
          <w:tcPr>
            <w:tcW w:type="pct" w:w="50%"/>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Member 3 — Backend/Data</w:t>
            </w:r>
          </w:p>
        </w:tc>
      </w:tr>
      <w:tr>
        <w:tc>
          <w:tcPr>
            <w:tcW w:type="pct" w:w="28%"/>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Multilingual (FR-I18N)</w:t>
            </w:r>
          </w:p>
        </w:tc>
        <w:tc>
          <w:tcPr>
            <w:tcW w:type="pct" w:w="22%"/>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Phase 5</w:t>
            </w:r>
          </w:p>
        </w:tc>
        <w:tc>
          <w:tcPr>
            <w:tcW w:type="pct" w:w="50%"/>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Member 1 — AI/ML/MLOps</w:t>
            </w:r>
          </w:p>
        </w:tc>
      </w:tr>
    </w:tbl>
    <w:p>
      <w:pPr>
        <w:pStyle w:val="Heading1"/>
        <w:pBdr>
          <w:bottom w:val="single" w:color="B8892B" w:sz="10" w:space="6"/>
        </w:pBdr>
        <w:spacing w:after="220" w:before="480"/>
      </w:pPr>
      <w:r>
        <w:rPr>
          <w:rFonts w:ascii="Cambria" w:cs="Cambria" w:eastAsia="Cambria" w:hAnsi="Cambria"/>
          <w:b/>
          <w:bCs/>
          <w:color w:val="1B3A5C"/>
          <w:sz w:val="32"/>
          <w:szCs w:val="32"/>
        </w:rPr>
        <w:t xml:space="preserve">Appendix B — Glossary of Legal Terms Used</w:t>
      </w:r>
    </w:p>
    <w:tbl>
      <w:tblPr>
        <w:tblW w:type="pct" w:w="100%"/>
        <w:tblBorders>
          <w:top w:val="single" w:color="D7DEE6" w:sz="4"/>
          <w:left w:val="single" w:color="D7DEE6" w:sz="4"/>
          <w:bottom w:val="single" w:color="D7DEE6" w:sz="4"/>
          <w:right w:val="single" w:color="D7DEE6" w:sz="4"/>
          <w:insideH w:val="single" w:color="D7DEE6" w:sz="4"/>
          <w:insideV w:val="single" w:color="D7DEE6" w:sz="4"/>
        </w:tblBorders>
      </w:tblPr>
      <w:tblGrid>
        <w:gridCol w:w="100"/>
        <w:gridCol w:w="100"/>
      </w:tblGrid>
      <w:tr>
        <w:trPr>
          <w:tblHeader/>
        </w:trPr>
        <w:tc>
          <w:tcPr>
            <w:tcW w:type="pct" w:w="25%"/>
            <w:shd w:fill="1B3A5C" w:val="clear"/>
            <w:tcMar>
              <w:top w:type="dxa" w:w="90"/>
              <w:left w:type="dxa" w:w="110"/>
              <w:bottom w:type="dxa" w:w="90"/>
              <w:right w:type="dxa" w:w="110"/>
            </w:tcMar>
            <w:vAlign w:val="center"/>
          </w:tcPr>
          <w:p>
            <w:pPr>
              <w:spacing w:after="0"/>
              <w:jc w:val="left"/>
            </w:pPr>
            <w:r>
              <w:rPr>
                <w:rFonts w:ascii="Calibri" w:cs="Calibri" w:eastAsia="Calibri" w:hAnsi="Calibri"/>
                <w:b/>
                <w:bCs/>
                <w:i w:val="false"/>
                <w:iCs w:val="false"/>
                <w:color w:val="FFFFFF"/>
                <w:sz w:val="19"/>
                <w:szCs w:val="19"/>
              </w:rPr>
              <w:t xml:space="preserve">Term</w:t>
            </w:r>
          </w:p>
        </w:tc>
        <w:tc>
          <w:tcPr>
            <w:tcW w:type="pct" w:w="75%"/>
            <w:shd w:fill="1B3A5C" w:val="clear"/>
            <w:tcMar>
              <w:top w:type="dxa" w:w="90"/>
              <w:left w:type="dxa" w:w="110"/>
              <w:bottom w:type="dxa" w:w="90"/>
              <w:right w:type="dxa" w:w="110"/>
            </w:tcMar>
            <w:vAlign w:val="center"/>
          </w:tcPr>
          <w:p>
            <w:pPr>
              <w:spacing w:after="0"/>
              <w:jc w:val="left"/>
            </w:pPr>
            <w:r>
              <w:rPr>
                <w:rFonts w:ascii="Calibri" w:cs="Calibri" w:eastAsia="Calibri" w:hAnsi="Calibri"/>
                <w:b/>
                <w:bCs/>
                <w:i w:val="false"/>
                <w:iCs w:val="false"/>
                <w:color w:val="FFFFFF"/>
                <w:sz w:val="19"/>
                <w:szCs w:val="19"/>
              </w:rPr>
              <w:t xml:space="preserve">Meaning</w:t>
            </w:r>
          </w:p>
        </w:tc>
      </w:tr>
      <w:tr>
        <w:tc>
          <w:tcPr>
            <w:tcW w:type="pct" w:w="25%"/>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Article</w:t>
            </w:r>
          </w:p>
        </w:tc>
        <w:tc>
          <w:tcPr>
            <w:tcW w:type="pct" w:w="75%"/>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A numbered provision of the Constitution of India.</w:t>
            </w:r>
          </w:p>
        </w:tc>
      </w:tr>
      <w:tr>
        <w:tc>
          <w:tcPr>
            <w:tcW w:type="pct" w:w="25%"/>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Section</w:t>
            </w:r>
          </w:p>
        </w:tc>
        <w:tc>
          <w:tcPr>
            <w:tcW w:type="pct" w:w="75%"/>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A numbered provision of a statute (Act).</w:t>
            </w:r>
          </w:p>
        </w:tc>
      </w:tr>
      <w:tr>
        <w:tc>
          <w:tcPr>
            <w:tcW w:type="pct" w:w="25%"/>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Sanhita / Adhiniyam</w:t>
            </w:r>
          </w:p>
        </w:tc>
        <w:tc>
          <w:tcPr>
            <w:tcW w:type="pct" w:w="75%"/>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“Code” / “Act” — used in the names of the BNS, BNSS, and BSA.</w:t>
            </w:r>
          </w:p>
        </w:tc>
      </w:tr>
      <w:tr>
        <w:tc>
          <w:tcPr>
            <w:tcW w:type="pct" w:w="25%"/>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Notification</w:t>
            </w:r>
          </w:p>
        </w:tc>
        <w:tc>
          <w:tcPr>
            <w:tcW w:type="pct" w:w="75%"/>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A formal government announcement, often used to bring a law or rule into force or amend subordinate legislation.</w:t>
            </w:r>
          </w:p>
        </w:tc>
      </w:tr>
      <w:tr>
        <w:tc>
          <w:tcPr>
            <w:tcW w:type="pct" w:w="25%"/>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Gazette</w:t>
            </w:r>
          </w:p>
        </w:tc>
        <w:tc>
          <w:tcPr>
            <w:tcW w:type="pct" w:w="75%"/>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The official publication of record for Indian central and state government notifications and Acts.</w:t>
            </w:r>
          </w:p>
        </w:tc>
      </w:tr>
      <w:tr>
        <w:tc>
          <w:tcPr>
            <w:tcW w:type="pct" w:w="25%"/>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Repeal and Savings clause</w:t>
            </w:r>
          </w:p>
        </w:tc>
        <w:tc>
          <w:tcPr>
            <w:tcW w:type="pct" w:w="75%"/>
            <w:shd w:fill="F7F8FA" w:val="clear"/>
            <w:tcMar>
              <w:top w:type="dxa" w:w="90"/>
              <w:left w:type="dxa" w:w="110"/>
              <w:bottom w:type="dxa" w:w="90"/>
              <w:right w:type="dxa" w:w="110"/>
            </w:tcMar>
            <w:vAlign w:val="center"/>
          </w:tcPr>
          <w:p>
            <w:pPr>
              <w:spacing w:after="0"/>
              <w:jc w:val="left"/>
            </w:pPr>
            <w:r>
              <w:rPr>
                <w:rFonts w:ascii="Calibri" w:cs="Calibri" w:eastAsia="Calibri" w:hAnsi="Calibri"/>
                <w:b w:val="false"/>
                <w:bCs w:val="false"/>
                <w:i w:val="false"/>
                <w:iCs w:val="false"/>
                <w:color w:val="1F2937"/>
                <w:sz w:val="19"/>
                <w:szCs w:val="19"/>
              </w:rPr>
              <w:t xml:space="preserve">A statutory provision (e.g. BNSS Section 531) governing how pending matters under an old law are handled after its repeal.</w:t>
            </w:r>
          </w:p>
        </w:tc>
      </w:tr>
    </w:tbl>
    <w:p>
      <w:pPr>
        <w:pStyle w:val="Heading1"/>
        <w:pBdr>
          <w:bottom w:val="single" w:color="B8892B" w:sz="10" w:space="6"/>
        </w:pBdr>
        <w:spacing w:after="220" w:before="480"/>
      </w:pPr>
      <w:r>
        <w:rPr>
          <w:rFonts w:ascii="Cambria" w:cs="Cambria" w:eastAsia="Cambria" w:hAnsi="Cambria"/>
          <w:b/>
          <w:bCs/>
          <w:color w:val="1B3A5C"/>
          <w:sz w:val="32"/>
          <w:szCs w:val="32"/>
        </w:rPr>
        <w:t xml:space="preserve">Appendix C — Open Issues &amp; Risks Carried Into Design</w:t>
      </w:r>
    </w:p>
    <w:p>
      <w:pPr>
        <w:pStyle w:val="ListParagraph"/>
        <w:numPr>
          <w:ilvl w:val="0"/>
          <w:numId w:val="1"/>
        </w:numPr>
        <w:spacing w:after="90" w:line="276"/>
      </w:pPr>
      <w:r>
        <w:rPr>
          <w:rFonts w:ascii="Calibri" w:cs="Calibri" w:eastAsia="Calibri" w:hAnsi="Calibri"/>
          <w:b w:val="false"/>
          <w:bCs w:val="false"/>
          <w:i w:val="false"/>
          <w:iCs w:val="false"/>
          <w:color w:val="1F2937"/>
          <w:sz w:val="22"/>
          <w:szCs w:val="22"/>
        </w:rPr>
        <w:t xml:space="preserve">Pilot state selection for Phase 5 is not fixed in this SRS; Section 5 of the Project Workflow document gives selection criteria (digitized-gazette quality, English-language availability) rather than a pre-committed state, so the team can decide with current information closer to Phase 5.</w:t>
      </w:r>
    </w:p>
    <w:p>
      <w:pPr>
        <w:pStyle w:val="ListParagraph"/>
        <w:numPr>
          <w:ilvl w:val="0"/>
          <w:numId w:val="1"/>
        </w:numPr>
        <w:spacing w:after="90" w:line="276"/>
      </w:pPr>
      <w:r>
        <w:rPr>
          <w:rFonts w:ascii="Calibri" w:cs="Calibri" w:eastAsia="Calibri" w:hAnsi="Calibri"/>
          <w:b w:val="false"/>
          <w:bCs w:val="false"/>
          <w:i w:val="false"/>
          <w:iCs w:val="false"/>
          <w:color w:val="1F2937"/>
          <w:sz w:val="22"/>
          <w:szCs w:val="22"/>
        </w:rPr>
        <w:t xml:space="preserve">Long-term hosting cost at Phase 6+ scale (Vertex AI generation cost per query, Qdrant hosting) is not yet budgeted in dollar terms; the Master Document, Section 9 (Risk Register) flags this explicitly rather than assuming it away.</w:t>
      </w:r>
    </w:p>
    <w:sectPr>
      <w:headerReference w:type="default" r:id="rId7"/>
      <w:footerReference w:type="default" r:id="rId8"/>
      <w:pgSz w:w="11906" w:h="16838" w:orient="portrait"/>
      <w:pgMar w:top="1000" w:right="1100" w:bottom="1000" w:left="1100" w:header="708" w:footer="708" w:gutter="0"/>
      <w:pgNumType/>
      <w:titlePg w:val="fals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7DEE6" w:sz="4" w:space="4"/>
      </w:pBdr>
      <w:tabs>
        <w:tab w:val="center" w:pos="4513"/>
        <w:tab w:val="right" w:pos="9026"/>
      </w:tabs>
    </w:pPr>
    <w:r>
      <w:rPr>
        <w:rFonts w:ascii="Calibri" w:cs="Calibri" w:eastAsia="Calibri" w:hAnsi="Calibri"/>
        <w:color w:val="5B6B7C"/>
        <w:sz w:val="16"/>
        <w:szCs w:val="16"/>
      </w:rPr>
      <w:t xml:space="preserve">v1.0 — July 2026</w:t>
    </w:r>
    <w:r>
      <w:rPr>
        <w:rFonts w:ascii="Calibri" w:cs="Calibri" w:eastAsia="Calibri" w:hAnsi="Calibri"/>
        <w:color w:val="5B6B7C"/>
        <w:sz w:val="16"/>
        <w:szCs w:val="16"/>
      </w:rPr>
      <w:t xml:space="preserve">	Page </w:t>
    </w:r>
    <w:r>
      <w:rPr>
        <w:rFonts w:ascii="Calibri" w:cs="Calibri" w:eastAsia="Calibri" w:hAnsi="Calibri"/>
        <w:color w:val="5B6B7C"/>
        <w:sz w:val="16"/>
        <w:szCs w:val="16"/>
      </w:rPr>
      <w:fldChar w:fldCharType="begin"/>
      <w:instrText xml:space="preserve">PAGE</w:instrText>
      <w:fldChar w:fldCharType="separate"/>
      <w:fldChar w:fldCharType="end"/>
    </w:r>
    <w:r>
      <w:rPr>
        <w:rFonts w:ascii="Calibri" w:cs="Calibri" w:eastAsia="Calibri" w:hAnsi="Calibri"/>
        <w:color w:val="5B6B7C"/>
        <w:sz w:val="16"/>
        <w:szCs w:val="16"/>
      </w:rPr>
      <w:t xml:space="preserve"> of </w:t>
    </w:r>
    <w:r>
      <w:rPr>
        <w:rFonts w:ascii="Calibri" w:cs="Calibri" w:eastAsia="Calibri" w:hAnsi="Calibri"/>
        <w:color w:val="5B6B7C"/>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7DEE6" w:sz="4" w:space="4"/>
      </w:pBdr>
      <w:tabs>
        <w:tab w:val="right" w:pos="9026"/>
      </w:tabs>
    </w:pPr>
    <w:r>
      <w:rPr>
        <w:rFonts w:ascii="Calibri" w:cs="Calibri" w:eastAsia="Calibri" w:hAnsi="Calibri"/>
        <w:b/>
        <w:bCs/>
        <w:color w:val="1B3A5C"/>
        <w:sz w:val="16"/>
        <w:szCs w:val="16"/>
      </w:rPr>
      <w:t xml:space="preserve">DharaAI</w:t>
    </w:r>
    <w:r>
      <w:rPr>
        <w:rFonts w:ascii="Calibri" w:cs="Calibri" w:eastAsia="Calibri" w:hAnsi="Calibri"/>
        <w:i/>
        <w:iCs/>
        <w:color w:val="5B6B7C"/>
        <w:sz w:val="16"/>
        <w:szCs w:val="16"/>
      </w:rPr>
      <w:t xml:space="preserve">  ·  Confidential Draft</w:t>
    </w:r>
    <w:r>
      <w:rPr>
        <w:rFonts w:ascii="Calibri" w:cs="Calibri" w:eastAsia="Calibri" w:hAnsi="Calibri"/>
        <w:color w:val="5B6B7C"/>
        <w:sz w:val="16"/>
        <w:szCs w:val="16"/>
      </w:rPr>
      <w:t xml:space="preserve">	SRS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Cambria" w:cs="Cambria" w:eastAsia="Cambria" w:hAnsi="Cambria"/>
      <w:b/>
      <w:bCs/>
      <w:color w:val="1B3A5C"/>
      <w:sz w:val="32"/>
      <w:szCs w:val="32"/>
    </w:rPr>
  </w:style>
  <w:style w:type="paragraph" w:styleId="Heading2">
    <w:name w:val="Heading 2"/>
    <w:basedOn w:val="Normal"/>
    <w:next w:val="Normal"/>
    <w:qFormat/>
    <w:rPr>
      <w:rFonts w:ascii="Cambria" w:cs="Cambria" w:eastAsia="Cambria" w:hAnsi="Cambria"/>
      <w:b/>
      <w:bCs/>
      <w:color w:val="1B3A5C"/>
      <w:sz w:val="26"/>
      <w:szCs w:val="26"/>
    </w:rPr>
  </w:style>
  <w:style w:type="paragraph" w:styleId="Heading3">
    <w:name w:val="Heading 3"/>
    <w:basedOn w:val="Normal"/>
    <w:next w:val="Normal"/>
    <w:qFormat/>
    <w:rPr>
      <w:rFonts w:ascii="Cambria" w:cs="Cambria" w:eastAsia="Cambria" w:hAnsi="Cambria"/>
      <w:b/>
      <w:bCs/>
      <w:color w:val="8C6A1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SRS</dc:title>
  <dc:creator>DharaAI Project</dc:creator>
  <cp:lastModifiedBy>Un-named</cp:lastModifiedBy>
  <cp:revision>1</cp:revision>
  <dcterms:created xsi:type="dcterms:W3CDTF">2026-07-26T10:52:22.934Z</dcterms:created>
  <dcterms:modified xsi:type="dcterms:W3CDTF">2026-07-26T10:52:22.935Z</dcterms:modified>
</cp:coreProperties>
</file>

<file path=docProps/custom.xml><?xml version="1.0" encoding="utf-8"?>
<Properties xmlns="http://schemas.openxmlformats.org/officeDocument/2006/custom-properties" xmlns:vt="http://schemas.openxmlformats.org/officeDocument/2006/docPropsVTypes"/>
</file>