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B3A5C"/>
          <w:sz w:val="64"/>
          <w:szCs w:val="64"/>
        </w:rPr>
        <w:t xml:space="preserve">DharaAI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8C6A1F"/>
          <w:sz w:val="24"/>
          <w:szCs w:val="24"/>
        </w:rPr>
        <w:t xml:space="preserve">An AI-Powered Indian Legal Intelligence Platform</w:t>
      </w:r>
    </w:p>
    <w:p>
      <w:pPr>
        <w:pBdr>
          <w:top w:val="single" w:color="B8892B" w:sz="14" w:space="10"/>
          <w:bottom w:val="single" w:color="B8892B" w:sz="14" w:space="10"/>
        </w:pBdr>
        <w:spacing w:after="200" w:before="200"/>
        <w:jc w:val="center"/>
      </w:pPr>
      <w:r>
        <w:rPr>
          <w:rFonts w:ascii="Cambria" w:cs="Cambria" w:eastAsia="Cambria" w:hAnsi="Cambria"/>
          <w:b/>
          <w:bCs/>
          <w:color w:val="122840"/>
          <w:sz w:val="40"/>
          <w:szCs w:val="40"/>
        </w:rPr>
        <w:t xml:space="preserve">PROJECT WORKFLOW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5B6B7C"/>
          <w:sz w:val="24"/>
          <w:szCs w:val="24"/>
        </w:rPr>
        <w:t xml:space="preserve">Phased delivery plan — each phase to production before the next begins</w:t>
      </w:r>
    </w:p>
    <w:p>
      <w:pPr>
        <w:spacing w:after="600"/>
      </w:pPr>
    </w:p>
    <w:tbl>
      <w:tblPr>
        <w:tblW w:type="pct" w:w="7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7DEE6" w:sz="2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C"/>
                <w:sz w:val="19"/>
                <w:szCs w:val="19"/>
              </w:rPr>
              <w:t xml:space="preserve">Document</w:t>
            </w:r>
          </w:p>
        </w:tc>
        <w:tc>
          <w:tcPr>
            <w:tcW w:type="pct" w:w="6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3 of 5 — Project Workflow (Phased Roadmap)</w:t>
            </w:r>
          </w:p>
        </w:tc>
      </w:tr>
      <w:tr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C"/>
                <w:sz w:val="19"/>
                <w:szCs w:val="19"/>
              </w:rPr>
              <w:t xml:space="preserve">Version</w:t>
            </w:r>
          </w:p>
        </w:tc>
        <w:tc>
          <w:tcPr>
            <w:tcW w:type="pct" w:w="6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C"/>
                <w:sz w:val="19"/>
                <w:szCs w:val="19"/>
              </w:rPr>
              <w:t xml:space="preserve">Date</w:t>
            </w:r>
          </w:p>
        </w:tc>
        <w:tc>
          <w:tcPr>
            <w:tcW w:type="pct" w:w="6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26 July 2026</w:t>
            </w:r>
          </w:p>
        </w:tc>
      </w:tr>
      <w:tr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C"/>
                <w:sz w:val="19"/>
                <w:szCs w:val="19"/>
              </w:rPr>
              <w:t xml:space="preserve">Status</w:t>
            </w:r>
          </w:p>
        </w:tc>
        <w:tc>
          <w:tcPr>
            <w:tcW w:type="pct" w:w="6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Draft for team review</w:t>
            </w:r>
          </w:p>
        </w:tc>
      </w:tr>
      <w:tr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C"/>
                <w:sz w:val="19"/>
                <w:szCs w:val="19"/>
              </w:rPr>
              <w:t xml:space="preserve">Companion documents</w:t>
            </w:r>
          </w:p>
        </w:tc>
        <w:tc>
          <w:tcPr>
            <w:tcW w:type="pct" w:w="6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SRS · SDD · Role Division · Master Document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92B" w:sz="10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60"/>
      </w:pPr>
      <w:r>
        <w:rPr>
          <w:rFonts w:ascii="Calibri" w:cs="Calibri" w:eastAsia="Calibri" w:hAnsi="Calibri"/>
          <w:i/>
          <w:iCs/>
          <w:color w:val="5B6B7C"/>
          <w:sz w:val="16"/>
          <w:szCs w:val="16"/>
        </w:rPr>
        <w:t xml:space="preserve">(If this outline looks empty, right-click it and choose “Update Field” — Word/LibreOffice recalculate it from the headings automatically.)</w:t>
      </w:r>
    </w:p>
    <w:p>
      <w:r>
        <w:br w:type="page"/>
      </w:r>
    </w:p>
    <w:p>
      <w:pPr>
        <w:pStyle w:val="Heading1"/>
        <w:pBdr>
          <w:bottom w:val="single" w:color="B8892B" w:sz="10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1. How to Read This Roadmap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is a “walking skeleton” roadmap: each phase ships a smaller-but-complete slice all the way to a live, publicly reachable production deployment before the next phase starts — not nine phases of parallel half-finished work. A phase is not “done” because the code is written; it is done when it has cleared the Definition of Production-Ready below and is answering real queries at its stated URL.</w:t>
      </w:r>
    </w:p>
    <w:tbl>
      <w:tblPr>
        <w:tblW w:type="pct" w:w="100%"/>
        <w:tblBorders>
          <w:top w:val="single" w:color="D9EEED" w:sz="4"/>
          <w:left w:val="single" w:color="0E7C7B" w:sz="36"/>
          <w:bottom w:val="single" w:color="D9EEED" w:sz="4"/>
          <w:right w:val="single" w:color="D9EEE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9EE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40"/>
                <w:sz w:val="19"/>
                <w:szCs w:val="19"/>
              </w:rPr>
              <w:t xml:space="preserve">NOTE — Why this ordering differs from a naive statute-by-statute rollout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The Constitution and the BNS/BNSS/BSA criminal codes are grouped into the same Phase 1, rather than treating the new criminal codes as a later addition. They are, as of 1 July 2024, current law — not a future nice-to-have — and pre-structured reference material for them exists, making them a natural MVP co-launch rather than a Phase-4 afterthought.</w:t>
            </w:r>
          </w:p>
        </w:tc>
      </w:tr>
    </w:tbl>
    <w:p>
      <w:pPr>
        <w:spacing w:after="160"/>
      </w:pP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1B3A5C"/>
          <w:sz w:val="26"/>
          <w:szCs w:val="26"/>
        </w:rPr>
        <w:t xml:space="preserve">1.1 Definition of “Production-Ready” (applies to every phase)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Deployed to a live, publicly reachable URL on the GCP production environment — not “works on my machine” or staging-only.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Passes the phase's stated Definition of Done, including any evaluation-metric gate that applies from Phase 2 onward.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Rate limiting, basic monitoring, and a rollback plan are in place before traffic is real (from Phase 1 onward).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 short internal demo is recorded or given — forces the team to confirm it actually works end-to-end, not just in a unit test.</w:t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1B3A5C"/>
          <w:sz w:val="26"/>
          <w:szCs w:val="26"/>
        </w:rPr>
        <w:t xml:space="preserve">1.2 Full Roadmap at a Glance</w:t>
      </w:r>
    </w:p>
    <w:p>
      <w:pPr>
        <w:spacing w:after="60" w:before="160"/>
        <w:jc w:val="center"/>
      </w:pPr>
      <w:r>
        <w:drawing>
          <wp:inline distT="0" distB="0" distL="0" distR="0">
            <wp:extent cx="603885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1.1 — Nine phases, each ending in a production milestone (green diamond).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62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pct" w:w="24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pct" w:w="6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Foundation &amp; infrastructure</w:t>
            </w:r>
          </w:p>
        </w:tc>
        <w:tc>
          <w:tcPr>
            <w:tcW w:type="pct" w:w="2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 weeks</w:t>
            </w:r>
          </w:p>
        </w:tc>
      </w:tr>
      <w:tr>
        <w:tc>
          <w:tcPr>
            <w:tcW w:type="pct" w:w="14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pct" w:w="62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Foundational corpus MVP (Constitution + BNS/BNSS/BSA)</w:t>
            </w:r>
          </w:p>
        </w:tc>
        <w:tc>
          <w:tcPr>
            <w:tcW w:type="pct" w:w="24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5 weeks</w:t>
            </w:r>
          </w:p>
        </w:tc>
      </w:tr>
      <w:tr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pct" w:w="6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Retrieval &amp; evaluation hardening</w:t>
            </w:r>
          </w:p>
        </w:tc>
        <w:tc>
          <w:tcPr>
            <w:tcW w:type="pct" w:w="2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4 weeks</w:t>
            </w:r>
          </w:p>
        </w:tc>
      </w:tr>
      <w:tr>
        <w:tc>
          <w:tcPr>
            <w:tcW w:type="pct" w:w="14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pct" w:w="62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Reusable ingestion pipeline + central laws</w:t>
            </w:r>
          </w:p>
        </w:tc>
        <w:tc>
          <w:tcPr>
            <w:tcW w:type="pct" w:w="24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4 weeks</w:t>
            </w:r>
          </w:p>
        </w:tc>
      </w:tr>
      <w:tr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pct" w:w="6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Judicial layer (SC/HC judgments)</w:t>
            </w:r>
          </w:p>
        </w:tc>
        <w:tc>
          <w:tcPr>
            <w:tcW w:type="pct" w:w="2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5 weeks</w:t>
            </w:r>
          </w:p>
        </w:tc>
      </w:tr>
      <w:tr>
        <w:tc>
          <w:tcPr>
            <w:tcW w:type="pct" w:w="14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pct" w:w="62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State layer (one pilot state)</w:t>
            </w:r>
          </w:p>
        </w:tc>
        <w:tc>
          <w:tcPr>
            <w:tcW w:type="pct" w:w="24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4 weeks</w:t>
            </w:r>
          </w:p>
        </w:tc>
      </w:tr>
      <w:tr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pct" w:w="6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Administrative/regulatory layer + developer API</w:t>
            </w:r>
          </w:p>
        </w:tc>
        <w:tc>
          <w:tcPr>
            <w:tcW w:type="pct" w:w="2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5 weeks</w:t>
            </w:r>
          </w:p>
        </w:tc>
      </w:tr>
      <w:tr>
        <w:tc>
          <w:tcPr>
            <w:tcW w:type="pct" w:w="14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pct" w:w="62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Scale, mobile, knowledge-graph maturity</w:t>
            </w:r>
          </w:p>
        </w:tc>
        <w:tc>
          <w:tcPr>
            <w:tcW w:type="pct" w:w="24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8 weeks</w:t>
            </w:r>
          </w:p>
        </w:tc>
      </w:tr>
      <w:tr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pct" w:w="6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International expansion (directional only)</w:t>
            </w:r>
          </w:p>
        </w:tc>
        <w:tc>
          <w:tcPr>
            <w:tcW w:type="pct" w:w="2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not actively scheduled</w:t>
            </w:r>
          </w:p>
        </w:tc>
      </w:tr>
    </w:tbl>
    <w:tbl>
      <w:tblPr>
        <w:tblW w:type="pct" w:w="100%"/>
        <w:tblBorders>
          <w:top w:val="single" w:color="F3E4C4" w:sz="4"/>
          <w:left w:val="single" w:color="B8892B" w:sz="36"/>
          <w:bottom w:val="single" w:color="F3E4C4" w:sz="4"/>
          <w:right w:val="single" w:color="F3E4C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E4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40"/>
                <w:sz w:val="19"/>
                <w:szCs w:val="19"/>
              </w:rPr>
              <w:t xml:space="preserve">ASSUMPTION — How these durations were estimated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Estimates assume a part-time-realistic pace for a 3-person team (evenings/weekends alongside other commitments, consistent with a student/early-career team), not a funded full-time team. Treat them as planning inputs to revise after Phase 0–1 give the team a real velocity baseline — not a commitment.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B8892B" w:sz="10" w:space="6"/>
        </w:pBdr>
        <w:spacing w:after="100" w:before="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Phase 0 — Foundation &amp; Infrastructure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8C6A1F"/>
          <w:sz w:val="20"/>
          <w:szCs w:val="20"/>
        </w:rPr>
        <w:t xml:space="preserve">Weeks 0–2</w:t>
      </w:r>
      <w:r>
        <w:rPr>
          <w:color w:val="5B6B7C"/>
          <w:sz w:val="20"/>
          <w:szCs w:val="20"/>
        </w:rPr>
        <w:t xml:space="preserve">   ·   </w:t>
      </w:r>
      <w:r>
        <w:rPr>
          <w:rFonts w:ascii="Calibri" w:cs="Calibri" w:eastAsia="Calibri" w:hAnsi="Calibri"/>
          <w:i/>
          <w:iCs/>
          <w:color w:val="5B6B7C"/>
          <w:sz w:val="20"/>
          <w:szCs w:val="20"/>
        </w:rPr>
        <w:t xml:space="preserve">Nothing user-facing yet — the goal is a repo, a schema, and a deploy pipeline the whole team can build on without stepping on each other.</w:t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8C6A1F"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Finalize the universal legal document schema (SDD Section 3.1) and the initial Postgres migration.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Stand up Docker Compose for local dev (Postgres, Qdrant, FastAPI skeleton).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Create the GCP project, IAM service accounts, and Secret Manager setup.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Stand up CI/CD (GitHub Actions → Cloud Build → Cloud Run) deploying a health-check endpoint.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Check and log ToS/robots.txt status for the Phase 1 sources (India Code, eGazette) in the source registry — before any crawler code is written.</w:t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8C6A1F"/>
          <w:sz w:val="22"/>
          <w:szCs w:val="22"/>
        </w:rPr>
        <w:t xml:space="preserve">Task Breakdown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pct" w:w="78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Tasks</w:t>
            </w:r>
          </w:p>
        </w:tc>
      </w:tr>
      <w:tr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Member 1 (AI/ML)</w:t>
            </w:r>
          </w:p>
        </w:tc>
        <w:tc>
          <w:tcPr>
            <w:tcW w:type="pct" w:w="7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Confirm BGE-M3 + reranker run within the local GPU/VRAM budget; draft the hybrid-retrieval evaluation-set format ahead of Phase 2.</w:t>
            </w:r>
          </w:p>
        </w:tc>
      </w:tr>
      <w:tr>
        <w:tc>
          <w:tcPr>
            <w:tcW w:type="pct" w:w="22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Member 2 (Frontend)</w:t>
            </w:r>
          </w:p>
        </w:tc>
        <w:tc>
          <w:tcPr>
            <w:tcW w:type="pct" w:w="78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Next.js project scaffold, design-system starting point (Tailwind/shadcn), deployed skeleton page on Cloud Run/Vercel.</w:t>
            </w:r>
          </w:p>
        </w:tc>
      </w:tr>
      <w:tr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Member 3 (Backend/Data)</w:t>
            </w:r>
          </w:p>
        </w:tc>
        <w:tc>
          <w:tcPr>
            <w:tcW w:type="pct" w:w="7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Postgres schema + migrations, Docker Compose, GCP project/IAM setup, CI/CD pipeline, source-registry ToS review.</w:t>
            </w:r>
          </w:p>
        </w:tc>
      </w:tr>
    </w:tbl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8C6A1F"/>
          <w:sz w:val="22"/>
          <w:szCs w:val="22"/>
        </w:rPr>
        <w:t xml:space="preserve">Definition of Done / Production Milestone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CI/CD pipeline deploys a health-check endpoint to Cloud Run on every merge to main.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Any team member can stand up the full local dev environment from a clean checkout with one documented command.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Source registry contains a logged compliance status for every Phase 1 source.</w:t>
      </w:r>
    </w:p>
    <w:p>
      <w:pPr>
        <w:pStyle w:val="Heading1"/>
        <w:pageBreakBefore/>
        <w:pBdr>
          <w:bottom w:val="single" w:color="B8892B" w:sz="10" w:space="6"/>
        </w:pBdr>
        <w:spacing w:after="100" w:before="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Phase 1 — Foundational Corpus MVP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8C6A1F"/>
          <w:sz w:val="20"/>
          <w:szCs w:val="20"/>
        </w:rPr>
        <w:t xml:space="preserve">Weeks 2–7</w:t>
      </w:r>
      <w:r>
        <w:rPr>
          <w:color w:val="5B6B7C"/>
          <w:sz w:val="20"/>
          <w:szCs w:val="20"/>
        </w:rPr>
        <w:t xml:space="preserve">   ·   </w:t>
      </w:r>
      <w:r>
        <w:rPr>
          <w:rFonts w:ascii="Calibri" w:cs="Calibri" w:eastAsia="Calibri" w:hAnsi="Calibri"/>
          <w:i/>
          <w:iCs/>
          <w:color w:val="5B6B7C"/>
          <w:sz w:val="20"/>
          <w:szCs w:val="20"/>
        </w:rPr>
        <w:t xml:space="preserve">The first real production milestone: a publicly reachable MVP answering Constitution and BNS/BNSS/BSA questions with citations.</w:t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8C6A1F"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Ingestion pipeline v1: Constitution + BNS/BNSS/BSA, structure-preserving cleaning, rule-based metadata extraction.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Hierarchical chunking (≤512 tokens) and local BGE-M3 embedding generation.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Hybrid retrieval v1 using Qdrant's native dense+sparse search, merged by RRF.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Grounded generation via Vertex AI with enforced citation formatting; single-hop questions only (multi-hop explicitly out of scope, per FR-RET-004).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Minimal chat UI: one page, streaming answers, citation cards — no auth dashboard, no admin panel yet.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Core safety: rate limiting and UPL-avoidance disclaimers live from day one of public access.</w:t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8C6A1F"/>
          <w:sz w:val="22"/>
          <w:szCs w:val="22"/>
        </w:rPr>
        <w:t xml:space="preserve">Task Breakdown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pct" w:w="78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Tasks</w:t>
            </w:r>
          </w:p>
        </w:tc>
      </w:tr>
      <w:tr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Member 1 (AI/ML)</w:t>
            </w:r>
          </w:p>
        </w:tc>
        <w:tc>
          <w:tcPr>
            <w:tcW w:type="pct" w:w="7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Chunking logic, embedding pipeline, hybrid retrieval service, prompt design, citation-format enforcement.</w:t>
            </w:r>
          </w:p>
        </w:tc>
      </w:tr>
      <w:tr>
        <w:tc>
          <w:tcPr>
            <w:tcW w:type="pct" w:w="22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Member 2 (Frontend)</w:t>
            </w:r>
          </w:p>
        </w:tc>
        <w:tc>
          <w:tcPr>
            <w:tcW w:type="pct" w:w="78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Chat UI, streaming response rendering, citation card component, mobile-responsive layout.</w:t>
            </w:r>
          </w:p>
        </w:tc>
      </w:tr>
      <w:tr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Member 3 (Backend/Data)</w:t>
            </w:r>
          </w:p>
        </w:tc>
        <w:tc>
          <w:tcPr>
            <w:tcW w:type="pct" w:w="7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Crawler/scraper for India Code + eGazette (Constitution, BNS/BNSS/BSA), document cleaner, metadata extractor, API gateway, basic auth, rate limiting.</w:t>
            </w:r>
          </w:p>
        </w:tc>
      </w:tr>
    </w:tbl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8C6A1F"/>
          <w:sz w:val="22"/>
          <w:szCs w:val="22"/>
        </w:rPr>
        <w:t xml:space="preserve">Definition of Done / Production Milestone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Publicly accessible at a real URL; answers Constitution and BNS/BNSS/BSA questions with working citations.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Rate-limited, basic auth in place; UPL disclaimers live on every answer.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Internal smoke-test set (informal at this stage — the formal evaluation harness is Phase 2) shows retrieval is returning the right section for direct-lookup questions.</w:t>
      </w:r>
    </w:p>
    <w:p>
      <w:pPr>
        <w:pStyle w:val="Heading1"/>
        <w:pageBreakBefore/>
        <w:pBdr>
          <w:bottom w:val="single" w:color="B8892B" w:sz="10" w:space="6"/>
        </w:pBdr>
        <w:spacing w:after="100" w:before="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Phase 2 — Retrieval &amp; Evaluation Hardening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8C6A1F"/>
          <w:sz w:val="20"/>
          <w:szCs w:val="20"/>
        </w:rPr>
        <w:t xml:space="preserve">Weeks 7–11</w:t>
      </w:r>
      <w:r>
        <w:rPr>
          <w:color w:val="5B6B7C"/>
          <w:sz w:val="20"/>
          <w:szCs w:val="20"/>
        </w:rPr>
        <w:t xml:space="preserve">   ·   </w:t>
      </w:r>
      <w:r>
        <w:rPr>
          <w:rFonts w:ascii="Calibri" w:cs="Calibri" w:eastAsia="Calibri" w:hAnsi="Calibri"/>
          <w:i/>
          <w:iCs/>
          <w:color w:val="5B6B7C"/>
          <w:sz w:val="20"/>
          <w:szCs w:val="20"/>
        </w:rPr>
        <w:t xml:space="preserve">Turns “it seems to work” into a measured, defensible v1.0 with published quality numbers.</w:t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8C6A1F"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Add the cross-encoder reranker and cross-reference resolver (SDD Sections 4.10–4.11).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Build the faithfulness checker (FR-FAITH-001) and wire it into the response path.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Build the hand-labeled tiered evaluation set (50–100 questions: direct, paraphrased, multi-hop-flagged, adversarial) and run BhashaBench-Legal's English subset as a secondary check.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Ship the version resolver with the explicit latest-law default and the IPC→BNS repealed-mapping feature (FR-VER-001–003) — the flagship differentiator.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Security hardening: prompt-injection resistance testing, query classifier (in-scope/safety) live before retrieval runs.</w:t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8C6A1F"/>
          <w:sz w:val="22"/>
          <w:szCs w:val="22"/>
        </w:rPr>
        <w:t xml:space="preserve">Task Breakdown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pct" w:w="78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Tasks</w:t>
            </w:r>
          </w:p>
        </w:tc>
      </w:tr>
      <w:tr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Member 1 (AI/ML)</w:t>
            </w:r>
          </w:p>
        </w:tc>
        <w:tc>
          <w:tcPr>
            <w:tcW w:type="pct" w:w="7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Reranker integration, cross-reference resolver, faithfulness checker, version resolver + IPC→BNS mapping table, evaluation harness build, run + report metrics against SRS Section 6 targets.</w:t>
            </w:r>
          </w:p>
        </w:tc>
      </w:tr>
      <w:tr>
        <w:tc>
          <w:tcPr>
            <w:tcW w:type="pct" w:w="22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Member 2 (Frontend)</w:t>
            </w:r>
          </w:p>
        </w:tc>
        <w:tc>
          <w:tcPr>
            <w:tcW w:type="pct" w:w="78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Surface version/mapping notes in the citation viewer (“formerly IPC 302” style notices); polish streaming UX based on Phase 1 usage.</w:t>
            </w:r>
          </w:p>
        </w:tc>
      </w:tr>
      <w:tr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Member 3 (Backend/Data)</w:t>
            </w:r>
          </w:p>
        </w:tc>
        <w:tc>
          <w:tcPr>
            <w:tcW w:type="pct" w:w="7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Query classifier service, rate-limit tuning from real Phase 1 traffic, feedback-capture endpoint, structured logging with correlation IDs.</w:t>
            </w:r>
          </w:p>
        </w:tc>
      </w:tr>
    </w:tbl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8C6A1F"/>
          <w:sz w:val="22"/>
          <w:szCs w:val="22"/>
        </w:rPr>
        <w:t xml:space="preserve">Definition of Done / Production Milestone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pct" w:w="50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Recall@5 (hand-labeled set)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&gt; 85%</w:t>
            </w:r>
          </w:p>
        </w:tc>
      </w:tr>
      <w:tr>
        <w:tc>
          <w:tcPr>
            <w:tcW w:type="pct" w:w="50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Citation faithfulness</w:t>
            </w:r>
          </w:p>
        </w:tc>
        <w:tc>
          <w:tcPr>
            <w:tcW w:type="pct" w:w="50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&gt; 90%</w:t>
            </w:r>
          </w:p>
        </w:tc>
      </w:tr>
      <w:t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Out-of-scope refusal accuracy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&gt; 95%</w:t>
            </w:r>
          </w:p>
        </w:tc>
      </w:tr>
      <w:tr>
        <w:tc>
          <w:tcPr>
            <w:tcW w:type="pct" w:w="50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Retrieval latency, p95</w:t>
            </w:r>
          </w:p>
        </w:tc>
        <w:tc>
          <w:tcPr>
            <w:tcW w:type="pct" w:w="50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&lt; 500 ms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v1.0 public launch, with these metrics published (even informally, e.g. in the project README) — the IPC→BNS mapping feature is demoed live as part of this milestone.</w:t>
      </w:r>
    </w:p>
    <w:p>
      <w:pPr>
        <w:pStyle w:val="Heading1"/>
        <w:pageBreakBefore/>
        <w:pBdr>
          <w:bottom w:val="single" w:color="B8892B" w:sz="10" w:space="6"/>
        </w:pBdr>
        <w:spacing w:after="100" w:before="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Phase 3 — Reusable Ingestion Pipeline &amp; Central Laws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8C6A1F"/>
          <w:sz w:val="20"/>
          <w:szCs w:val="20"/>
        </w:rPr>
        <w:t xml:space="preserve">Weeks 11–15</w:t>
      </w:r>
      <w:r>
        <w:rPr>
          <w:color w:val="5B6B7C"/>
          <w:sz w:val="20"/>
          <w:szCs w:val="20"/>
        </w:rPr>
        <w:t xml:space="preserve">   ·   </w:t>
      </w:r>
      <w:r>
        <w:rPr>
          <w:rFonts w:ascii="Calibri" w:cs="Calibri" w:eastAsia="Calibri" w:hAnsi="Calibri"/>
          <w:i/>
          <w:iCs/>
          <w:color w:val="5B6B7C"/>
          <w:sz w:val="20"/>
          <w:szCs w:val="20"/>
        </w:rPr>
        <w:t xml:space="preserve">Proves the architecture's core promise: a new law is a data task, not a code change.</w:t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8C6A1F"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Generalize the ingestion pipeline into source-agnostic configuration (crawler target, parser profile, metadata mapping) per FR-ING-005.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Onboard the Companies Act, GST Act, IT Act, and Consumer Protection Act using only that configuration — zero retrieval/generation code changes.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Ship the admin panel v1: source registry and ingestion-job visibility (FR-ADMIN-001).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Add query decomposition for true multi-hop questions (moving past the Phase 1–2 single-hop scope, FR-RET-004).</w:t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8C6A1F"/>
          <w:sz w:val="22"/>
          <w:szCs w:val="22"/>
        </w:rPr>
        <w:t xml:space="preserve">Task Breakdown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pct" w:w="78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Tasks</w:t>
            </w:r>
          </w:p>
        </w:tc>
      </w:tr>
      <w:tr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Member 1 (AI/ML)</w:t>
            </w:r>
          </w:p>
        </w:tc>
        <w:tc>
          <w:tcPr>
            <w:tcW w:type="pct" w:w="7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Multi-hop query decomposition, retrieval-quality regression checks as corpus grows, evaluation-set expansion to cover new Acts.</w:t>
            </w:r>
          </w:p>
        </w:tc>
      </w:tr>
      <w:tr>
        <w:tc>
          <w:tcPr>
            <w:tcW w:type="pct" w:w="22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Member 2 (Frontend)</w:t>
            </w:r>
          </w:p>
        </w:tc>
        <w:tc>
          <w:tcPr>
            <w:tcW w:type="pct" w:w="78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Document-type/jurisdiction filters in search UI (FR-UI-003); admin panel UI.</w:t>
            </w:r>
          </w:p>
        </w:tc>
      </w:tr>
      <w:tr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Member 3 (Backend/Data)</w:t>
            </w:r>
          </w:p>
        </w:tc>
        <w:tc>
          <w:tcPr>
            <w:tcW w:type="pct" w:w="7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Ingestion pipeline generalization, admin panel backend, onboarding the four new Acts, CI-gated evaluation (FR-EVAL-003).</w:t>
            </w:r>
          </w:p>
        </w:tc>
      </w:tr>
    </w:tbl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8C6A1F"/>
          <w:sz w:val="22"/>
          <w:szCs w:val="22"/>
        </w:rPr>
        <w:t xml:space="preserve">Definition of Done / Production Milestone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 new central Act is onboarded and answerable in production in under one working day of configuration effort — demonstrated live, not just claimed.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Evaluation harness runs automatically in CI and blocks a release on regression.</w:t>
      </w:r>
    </w:p>
    <w:p>
      <w:pPr>
        <w:pStyle w:val="Heading1"/>
        <w:pageBreakBefore/>
        <w:pBdr>
          <w:bottom w:val="single" w:color="B8892B" w:sz="10" w:space="6"/>
        </w:pBdr>
        <w:spacing w:after="100" w:before="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Phase 4 — Judicial Layer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8C6A1F"/>
          <w:sz w:val="20"/>
          <w:szCs w:val="20"/>
        </w:rPr>
        <w:t xml:space="preserve">Weeks 15–20</w:t>
      </w:r>
      <w:r>
        <w:rPr>
          <w:color w:val="5B6B7C"/>
          <w:sz w:val="20"/>
          <w:szCs w:val="20"/>
        </w:rPr>
        <w:t xml:space="preserve">   ·   </w:t>
      </w:r>
      <w:r>
        <w:rPr>
          <w:rFonts w:ascii="Calibri" w:cs="Calibri" w:eastAsia="Calibri" w:hAnsi="Calibri"/>
          <w:i/>
          <w:iCs/>
          <w:color w:val="5B6B7C"/>
          <w:sz w:val="20"/>
          <w:szCs w:val="20"/>
        </w:rPr>
        <w:t xml:space="preserve">The highest-stakes phase from a compliance standpoint — does not ship without its DPDP redaction gate passing.</w:t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8C6A1F"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Ingest Supreme Court and High Court judgments; integrate OpenNyAI's NER and rhetorical-role models, which are trained specifically for this judgment-structure task (unlike Phase 1–3's statute-focused rule-based extraction).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Build and pass the DPDP-aligned redaction/exclusion pipeline (FR-ING-006) before any judgment is indexed.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Upgrade the citation viewer to show case excerpts and rhetorical-role context (facts / issue / holding).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Extend UPL-safe answer design: case-law interpretation answers carry appropriately stronger disclaimers than statutory lookups.</w:t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8C6A1F"/>
          <w:sz w:val="22"/>
          <w:szCs w:val="22"/>
        </w:rPr>
        <w:t xml:space="preserve">Task Breakdown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pct" w:w="78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Tasks</w:t>
            </w:r>
          </w:p>
        </w:tc>
      </w:tr>
      <w:tr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Member 1 (AI/ML)</w:t>
            </w:r>
          </w:p>
        </w:tc>
        <w:tc>
          <w:tcPr>
            <w:tcW w:type="pct" w:w="7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OpenNyAI integration, rhetorical-role-aware chunking for judgments, retrieval tuning for case-law-style queries.</w:t>
            </w:r>
          </w:p>
        </w:tc>
      </w:tr>
      <w:tr>
        <w:tc>
          <w:tcPr>
            <w:tcW w:type="pct" w:w="22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Member 2 (Frontend)</w:t>
            </w:r>
          </w:p>
        </w:tc>
        <w:tc>
          <w:tcPr>
            <w:tcW w:type="pct" w:w="78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Citation viewer upgrade for case excerpts, stronger disclaimer UX for case-law answers.</w:t>
            </w:r>
          </w:p>
        </w:tc>
      </w:tr>
      <w:tr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Member 3 (Backend/Data)</w:t>
            </w:r>
          </w:p>
        </w:tc>
        <w:tc>
          <w:tcPr>
            <w:tcW w:type="pct" w:w="7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Judgment crawler/ingestion, DPDP redaction pipeline build + audit logging, ToS review for eCourts/HC portal sources.</w:t>
            </w:r>
          </w:p>
        </w:tc>
      </w:tr>
    </w:tbl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8C6A1F"/>
          <w:sz w:val="22"/>
          <w:szCs w:val="22"/>
        </w:rPr>
        <w:t xml:space="preserve">Definition of Done / Production Milestone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Judgment search and interpretation live in production, with the redaction audit log reviewed and passed — this gate is not skippable under schedule pressure.</w:t>
      </w:r>
    </w:p>
    <w:p>
      <w:pPr>
        <w:pStyle w:val="Heading1"/>
        <w:pageBreakBefore/>
        <w:pBdr>
          <w:bottom w:val="single" w:color="B8892B" w:sz="10" w:space="6"/>
        </w:pBdr>
        <w:spacing w:after="100" w:before="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Phase 5 — State Layer (Pilot State)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8C6A1F"/>
          <w:sz w:val="20"/>
          <w:szCs w:val="20"/>
        </w:rPr>
        <w:t xml:space="preserve">Weeks 20–24</w:t>
      </w:r>
      <w:r>
        <w:rPr>
          <w:color w:val="5B6B7C"/>
          <w:sz w:val="20"/>
          <w:szCs w:val="20"/>
        </w:rPr>
        <w:t xml:space="preserve">   ·   </w:t>
      </w:r>
      <w:r>
        <w:rPr>
          <w:rFonts w:ascii="Calibri" w:cs="Calibri" w:eastAsia="Calibri" w:hAnsi="Calibri"/>
          <w:i/>
          <w:iCs/>
          <w:color w:val="5B6B7C"/>
          <w:sz w:val="20"/>
          <w:szCs w:val="20"/>
        </w:rPr>
        <w:t xml:space="preserve">First test of the architecture outside central law — and the first multilingual content.</w:t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8C6A1F"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Select one pilot state's Acts, Rules, Notifications, and Circulars to ingest.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Extend query/answer support to Hindi using BGE-M3's multilingual embeddings (FR-I18N-001), starting with the pilot state's content.</w:t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8C6A1F"/>
          <w:sz w:val="22"/>
          <w:szCs w:val="22"/>
        </w:rPr>
        <w:t xml:space="preserve">Pilot State Selection Criteria (not pre-committed in this document)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Rather than naming a state here, the team should score candidates against: (1) digitized gazette/legal-text quality and completeness, (2) English-language availability alongside the vernacular (reduces Phase 5 translation scope), and (3) an official API or clean bulk-access path (ties back to FR-ING-001). Maharashtra, Karnataka, and Delhi are commonly cited as having comparatively strong digital legal-publication infrastructure and are reasonable starting points to evaluate against these criteria.</w:t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8C6A1F"/>
          <w:sz w:val="22"/>
          <w:szCs w:val="22"/>
        </w:rPr>
        <w:t xml:space="preserve">Task Breakdown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pct" w:w="78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Tasks</w:t>
            </w:r>
          </w:p>
        </w:tc>
      </w:tr>
      <w:tr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Member 1 (AI/ML)</w:t>
            </w:r>
          </w:p>
        </w:tc>
        <w:tc>
          <w:tcPr>
            <w:tcW w:type="pct" w:w="7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Multilingual retrieval evaluation (Hindi query → correct section), embedding-quality checks across languages.</w:t>
            </w:r>
          </w:p>
        </w:tc>
      </w:tr>
      <w:tr>
        <w:tc>
          <w:tcPr>
            <w:tcW w:type="pct" w:w="22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Member 2 (Frontend)</w:t>
            </w:r>
          </w:p>
        </w:tc>
        <w:tc>
          <w:tcPr>
            <w:tcW w:type="pct" w:w="78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Language toggle / bilingual answer rendering.</w:t>
            </w:r>
          </w:p>
        </w:tc>
      </w:tr>
      <w:tr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Member 3 (Backend/Data)</w:t>
            </w:r>
          </w:p>
        </w:tc>
        <w:tc>
          <w:tcPr>
            <w:tcW w:type="pct" w:w="7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State-source ingestion, ToS review for the chosen state's portals.</w:t>
            </w:r>
          </w:p>
        </w:tc>
      </w:tr>
    </w:tbl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8C6A1F"/>
          <w:sz w:val="22"/>
          <w:szCs w:val="22"/>
        </w:rPr>
        <w:t xml:space="preserve">Definition of Done / Production Milestone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Pilot state's layer live in production; English and Hindi queries both return correctly cited answers for that state's content.</w:t>
      </w:r>
    </w:p>
    <w:p>
      <w:pPr>
        <w:pStyle w:val="Heading1"/>
        <w:pageBreakBefore/>
        <w:pBdr>
          <w:bottom w:val="single" w:color="B8892B" w:sz="10" w:space="6"/>
        </w:pBdr>
        <w:spacing w:after="100" w:before="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Phase 6 — Administrative &amp; Regulatory Layer + Developer API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8C6A1F"/>
          <w:sz w:val="20"/>
          <w:szCs w:val="20"/>
        </w:rPr>
        <w:t xml:space="preserve">Weeks 24–29</w:t>
      </w:r>
      <w:r>
        <w:rPr>
          <w:color w:val="5B6B7C"/>
          <w:sz w:val="20"/>
          <w:szCs w:val="20"/>
        </w:rPr>
        <w:t xml:space="preserve">   ·   </w:t>
      </w:r>
      <w:r>
        <w:rPr>
          <w:rFonts w:ascii="Calibri" w:cs="Calibri" w:eastAsia="Calibri" w:hAnsi="Calibri"/>
          <w:i/>
          <w:iCs/>
          <w:color w:val="5B6B7C"/>
          <w:sz w:val="20"/>
          <w:szCs w:val="20"/>
        </w:rPr>
        <w:t xml:space="preserve">Opens the platform to other developers — the first real B2B/API surface.</w:t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8C6A1F"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Ingest select regulatory sources (RBI, SEBI, MCA, GSTN, IRDAI, TRAI) and local administrative material.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Ship the public developer API (FR-API-001): API-key auth, usage-based rate limiting, published docs.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Add a lightweight compliance-assistant flow for the business/startup use case, still within the UPL-safe disclaimer design.</w:t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8C6A1F"/>
          <w:sz w:val="22"/>
          <w:szCs w:val="22"/>
        </w:rPr>
        <w:t xml:space="preserve">Definition of Done / Production Milestone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Developer API live in production with API-key auth and usage-based rate limiting; regulatory corpus live and citable.</w:t>
      </w:r>
    </w:p>
    <w:p>
      <w:pPr>
        <w:pStyle w:val="Heading1"/>
        <w:pageBreakBefore/>
        <w:pBdr>
          <w:bottom w:val="single" w:color="B8892B" w:sz="10" w:space="6"/>
        </w:pBdr>
        <w:spacing w:after="100" w:before="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Phase 7 — Scale, Mobile &amp; Knowledge-Graph Maturity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8C6A1F"/>
          <w:sz w:val="20"/>
          <w:szCs w:val="20"/>
        </w:rPr>
        <w:t xml:space="preserve">Weeks 29–37</w:t>
      </w:r>
      <w:r>
        <w:rPr>
          <w:color w:val="5B6B7C"/>
          <w:sz w:val="20"/>
          <w:szCs w:val="20"/>
        </w:rPr>
        <w:t xml:space="preserve">   ·   </w:t>
      </w:r>
      <w:r>
        <w:rPr>
          <w:rFonts w:ascii="Calibri" w:cs="Calibri" w:eastAsia="Calibri" w:hAnsi="Calibri"/>
          <w:i/>
          <w:iCs/>
          <w:color w:val="5B6B7C"/>
          <w:sz w:val="20"/>
          <w:szCs w:val="20"/>
        </w:rPr>
        <w:t xml:space="preserve">Graduates several Phase 1–6 deferrals (Section 9 ADR log in the SDD) once real usage justifies them.</w:t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8C6A1F"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Full knowledge-graph layer beyond the lightweight adjacency structure, if multi-hop/graph-style queries at this point justify it.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Native mobile app; OCR support for scanned/image-only documents (extends ingestion beyond the Phase 1–6 text-layer-only sources).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Amendment-timeline visualizations and a compare-law-versions UI, building on the version resolver's existing data model.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Revisit the Phase 1–6 infrastructure deferrals (Elasticsearch, Celery/Redis, Prometheus/Grafana, GKE) against real, measured need rather than speculative planning.</w:t>
      </w:r>
    </w:p>
    <w:p>
      <w:pPr>
        <w:pStyle w:val="Heading3"/>
        <w:spacing w:after="120" w:before="260"/>
      </w:pPr>
      <w:r>
        <w:rPr>
          <w:rFonts w:ascii="Cambria" w:cs="Cambria" w:eastAsia="Cambria" w:hAnsi="Cambria"/>
          <w:b/>
          <w:bCs/>
          <w:color w:val="8C6A1F"/>
          <w:sz w:val="22"/>
          <w:szCs w:val="22"/>
        </w:rPr>
        <w:t xml:space="preserve">Definition of Done / Production Milestone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Mobile app store listing live; knowledge-graph-backed multi-hop reasoning live for the query classes that need it.</w:t>
      </w:r>
    </w:p>
    <w:p>
      <w:pPr>
        <w:pStyle w:val="Heading1"/>
        <w:pageBreakBefore/>
        <w:pBdr>
          <w:bottom w:val="single" w:color="B8892B" w:sz="10" w:space="6"/>
        </w:pBdr>
        <w:spacing w:after="100" w:before="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Phase 8 — International Expansion (Directional)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8C6A1F"/>
          <w:sz w:val="20"/>
          <w:szCs w:val="20"/>
        </w:rPr>
        <w:t xml:space="preserve">Weeks not actively scheduled</w:t>
      </w:r>
      <w:r>
        <w:rPr>
          <w:color w:val="5B6B7C"/>
          <w:sz w:val="20"/>
          <w:szCs w:val="20"/>
        </w:rPr>
        <w:t xml:space="preserve">   ·   </w:t>
      </w:r>
      <w:r>
        <w:rPr>
          <w:rFonts w:ascii="Calibri" w:cs="Calibri" w:eastAsia="Calibri" w:hAnsi="Calibri"/>
          <w:i/>
          <w:iCs/>
          <w:color w:val="5B6B7C"/>
          <w:sz w:val="20"/>
          <w:szCs w:val="20"/>
        </w:rPr>
        <w:t xml:space="preserve">Deliberately not a scoped build phase — an architectural compatibility statement, not a commitment.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generic document model (SDD Section 3.1) is not India-specific at the schema level, which is what makes a future US/UK/EU/UN/treaty layer architecturally plausible without a rebuild. This phase is intentionally written as “designed to extend to” rather than given a task breakdown, duration estimate, or Definition of Done — turning it into a real phase before there is a funded team and a specific market thesis for it would be scope creep, not ambition.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6" w:sz="4" w:space="4"/>
      </w:pBdr>
      <w:tabs>
        <w:tab w:val="center" w:pos="4513"/>
        <w:tab w:val="right" w:pos="9026"/>
      </w:tabs>
    </w:pPr>
    <w:r>
      <w:rPr>
        <w:rFonts w:ascii="Calibri" w:cs="Calibri" w:eastAsia="Calibri" w:hAnsi="Calibri"/>
        <w:color w:val="5B6B7C"/>
        <w:sz w:val="16"/>
        <w:szCs w:val="16"/>
      </w:rPr>
      <w:t xml:space="preserve">v1.0 — July 2026</w:t>
    </w:r>
    <w:r>
      <w:rPr>
        <w:rFonts w:ascii="Calibri" w:cs="Calibri" w:eastAsia="Calibri" w:hAnsi="Calibri"/>
        <w:color w:val="5B6B7C"/>
        <w:sz w:val="16"/>
        <w:szCs w:val="16"/>
      </w:rPr>
      <w:t xml:space="preserve">	Page </w:t>
    </w:r>
    <w:r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7C"/>
        <w:sz w:val="16"/>
        <w:szCs w:val="16"/>
      </w:rPr>
      <w:t xml:space="preserve"> of </w:t>
    </w:r>
    <w:r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EE6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DharaAI</w:t>
    </w:r>
    <w:r>
      <w:rPr>
        <w:rFonts w:ascii="Calibri" w:cs="Calibri" w:eastAsia="Calibri" w:hAnsi="Calibri"/>
        <w:i/>
        <w:iCs/>
        <w:color w:val="5B6B7C"/>
        <w:sz w:val="16"/>
        <w:szCs w:val="16"/>
      </w:rPr>
      <w:t xml:space="preserve">  ·  Confidential Draft</w:t>
    </w:r>
    <w:r>
      <w:rPr>
        <w:rFonts w:ascii="Calibri" w:cs="Calibri" w:eastAsia="Calibri" w:hAnsi="Calibri"/>
        <w:color w:val="5B6B7C"/>
        <w:sz w:val="16"/>
        <w:szCs w:val="16"/>
      </w:rPr>
      <w:t xml:space="preserve">	Project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mbria" w:cs="Cambria" w:eastAsia="Cambria" w:hAnsi="Cambria"/>
      <w:b/>
      <w:bCs/>
      <w:color w:val="8C6A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ab8855c37e932856bd73282e90d1dfafcf85e9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Workflow</dc:title>
  <dc:creator>DharaAI Project</dc:creator>
  <cp:lastModifiedBy>Un-named</cp:lastModifiedBy>
  <cp:revision>1</cp:revision>
  <dcterms:created xsi:type="dcterms:W3CDTF">2026-07-26T17:54:02.651Z</dcterms:created>
  <dcterms:modified xsi:type="dcterms:W3CDTF">2026-07-26T17:54:02.662Z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