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40"/>
        <w:jc w:val="center"/>
      </w:pPr>
      <w:r>
        <w:rPr>
          <w:rFonts w:ascii="Cambria" w:cs="Cambria" w:eastAsia="Cambria" w:hAnsi="Cambria"/>
          <w:b/>
          <w:bCs/>
          <w:color w:val="1B3A5C"/>
          <w:sz w:val="64"/>
          <w:szCs w:val="64"/>
        </w:rPr>
        <w:t xml:space="preserve">DharaAI</w:t>
      </w:r>
    </w:p>
    <w:p>
      <w:pPr>
        <w:spacing w:after="500"/>
        <w:jc w:val="center"/>
      </w:pPr>
      <w:r>
        <w:rPr>
          <w:rFonts w:ascii="Calibri" w:cs="Calibri" w:eastAsia="Calibri" w:hAnsi="Calibri"/>
          <w:i/>
          <w:iCs/>
          <w:color w:val="8C6A1F"/>
          <w:sz w:val="24"/>
          <w:szCs w:val="24"/>
        </w:rPr>
        <w:t xml:space="preserve">An AI-Powered Indian Legal Intelligence Platform</w:t>
      </w:r>
    </w:p>
    <w:p>
      <w:pPr>
        <w:pBdr>
          <w:top w:val="single" w:color="B8892B" w:sz="14" w:space="10"/>
          <w:bottom w:val="single" w:color="B8892B" w:sz="14" w:space="10"/>
        </w:pBdr>
        <w:spacing w:after="200" w:before="200"/>
        <w:jc w:val="center"/>
      </w:pPr>
      <w:r>
        <w:rPr>
          <w:rFonts w:ascii="Cambria" w:cs="Cambria" w:eastAsia="Cambria" w:hAnsi="Cambria"/>
          <w:b/>
          <w:bCs/>
          <w:color w:val="122840"/>
          <w:sz w:val="40"/>
          <w:szCs w:val="40"/>
        </w:rPr>
        <w:t xml:space="preserve">ROLE DIVISION</w:t>
      </w:r>
    </w:p>
    <w:p>
      <w:pPr>
        <w:spacing w:after="700"/>
        <w:jc w:val="center"/>
      </w:pPr>
      <w:r>
        <w:rPr>
          <w:rFonts w:ascii="Calibri" w:cs="Calibri" w:eastAsia="Calibri" w:hAnsi="Calibri"/>
          <w:color w:val="5B6B7C"/>
          <w:sz w:val="24"/>
          <w:szCs w:val="24"/>
        </w:rPr>
        <w:t xml:space="preserve">A rebalanced three-person team structure for DharaAI</w:t>
      </w:r>
    </w:p>
    <w:p>
      <w:pPr>
        <w:spacing w:after="600"/>
      </w:pPr>
    </w:p>
    <w:tbl>
      <w:tblPr>
        <w:tblW w:type="pct" w:w="7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7DEE6" w:sz="2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6B7C"/>
                <w:sz w:val="19"/>
                <w:szCs w:val="19"/>
              </w:rPr>
              <w:t xml:space="preserve">Document</w:t>
            </w:r>
          </w:p>
        </w:tc>
        <w:tc>
          <w:tcPr>
            <w:tcW w:type="pct" w:w="6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4 of 5 — Role Division (Team of 3)</w:t>
            </w:r>
          </w:p>
        </w:tc>
      </w:tr>
      <w:tr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6B7C"/>
                <w:sz w:val="19"/>
                <w:szCs w:val="19"/>
              </w:rPr>
              <w:t xml:space="preserve">Version</w:t>
            </w:r>
          </w:p>
        </w:tc>
        <w:tc>
          <w:tcPr>
            <w:tcW w:type="pct" w:w="6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6B7C"/>
                <w:sz w:val="19"/>
                <w:szCs w:val="19"/>
              </w:rPr>
              <w:t xml:space="preserve">Date</w:t>
            </w:r>
          </w:p>
        </w:tc>
        <w:tc>
          <w:tcPr>
            <w:tcW w:type="pct" w:w="6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26 July 2026</w:t>
            </w:r>
          </w:p>
        </w:tc>
      </w:tr>
      <w:tr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6B7C"/>
                <w:sz w:val="19"/>
                <w:szCs w:val="19"/>
              </w:rPr>
              <w:t xml:space="preserve">Status</w:t>
            </w:r>
          </w:p>
        </w:tc>
        <w:tc>
          <w:tcPr>
            <w:tcW w:type="pct" w:w="6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Draft for team review</w:t>
            </w:r>
          </w:p>
        </w:tc>
      </w:tr>
      <w:tr>
        <w:tc>
          <w:tcPr>
            <w:tcW w:type="pct" w:w="3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B6B7C"/>
                <w:sz w:val="19"/>
                <w:szCs w:val="19"/>
              </w:rPr>
              <w:t xml:space="preserve">Companion documents</w:t>
            </w:r>
          </w:p>
        </w:tc>
        <w:tc>
          <w:tcPr>
            <w:tcW w:type="pct" w:w="6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SRS · SDD · Project Workflow · Master Document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B8892B" w:sz="10" w:space="6"/>
        </w:pBdr>
        <w:spacing w:after="220" w:before="480"/>
      </w:pPr>
      <w:r>
        <w:rPr>
          <w:rFonts w:ascii="Cambria" w:cs="Cambria" w:eastAsia="Cambria" w:hAnsi="Cambria"/>
          <w:b/>
          <w:bCs/>
          <w:color w:val="1B3A5C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160"/>
      </w:pPr>
      <w:r>
        <w:rPr>
          <w:rFonts w:ascii="Calibri" w:cs="Calibri" w:eastAsia="Calibri" w:hAnsi="Calibri"/>
          <w:i/>
          <w:iCs/>
          <w:color w:val="5B6B7C"/>
          <w:sz w:val="16"/>
          <w:szCs w:val="16"/>
        </w:rPr>
        <w:t xml:space="preserve">(If this outline looks empty, right-click it and choose “Update Field” — Word/LibreOffice recalculate it from the headings automatically.)</w:t>
      </w:r>
    </w:p>
    <w:p>
      <w:r>
        <w:br w:type="page"/>
      </w:r>
    </w:p>
    <w:p>
      <w:pPr>
        <w:pStyle w:val="Heading1"/>
        <w:pBdr>
          <w:bottom w:val="single" w:color="B8892B" w:sz="10" w:space="6"/>
        </w:pBdr>
        <w:spacing w:after="220" w:before="480"/>
      </w:pPr>
      <w:r>
        <w:rPr>
          <w:rFonts w:ascii="Cambria" w:cs="Cambria" w:eastAsia="Cambria" w:hAnsi="Cambria"/>
          <w:b/>
          <w:bCs/>
          <w:color w:val="1B3A5C"/>
          <w:sz w:val="32"/>
          <w:szCs w:val="32"/>
        </w:rPr>
        <w:t xml:space="preserve">1. Why This Split, and Why It Changed</w:t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The initial planning conversation split the team as AI/ML+MLOps (everything from data ingestion through deployment), Frontend, and Backend. Under that split, Member 1 alone owned crawling, cleaning, chunking, embeddings, retrieval, reranking, prompt engineering, evaluation, deployment, and monitoring — while Members 2 and 3 split a comparatively lighter frontend/backend workload. That is not a sustainable division for a 3-person team shipping through nine phases.</w:t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This document rebalances it: data scraping and document cleaning move to Member 3 (Backend/Data), since crawling, PDF-to-text normalization, and structuring are backend engineering tasks, not ML tasks. That frees Member 1 to focus on the parts that are genuinely ML-specialist work — vector-space quality, hybrid-retrieval tuning, OpenNyAI integration, evaluation — rather than being the default owner of everything the other two roles don't claim.</w:t>
      </w:r>
    </w:p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1.1 Team Structure at a Glance</w:t>
      </w:r>
    </w:p>
    <w:p>
      <w:pPr>
        <w:spacing w:after="60" w:before="160"/>
        <w:jc w:val="center"/>
      </w:pPr>
      <w:r>
        <w:drawing>
          <wp:inline distT="0" distB="0" distL="0" distR="0">
            <wp:extent cx="6038850" cy="570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Figure 1.1 — Three roles and the two core handoffs between them.</w:t>
      </w:r>
    </w:p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1.2 Workload Balance Across Phases</w:t>
      </w:r>
    </w:p>
    <w:p>
      <w:pPr>
        <w:spacing w:after="60" w:before="160"/>
        <w:jc w:val="center"/>
      </w:pPr>
      <w:r>
        <w:drawing>
          <wp:inline distT="0" distB="0" distL="0" distR="0">
            <wp:extent cx="5667375" cy="3590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rFonts w:ascii="Calibri" w:cs="Calibri" w:eastAsia="Calibri" w:hAnsi="Calibri"/>
          <w:i/>
          <w:iCs/>
          <w:color w:val="5B6B7C"/>
          <w:sz w:val="18"/>
          <w:szCs w:val="18"/>
        </w:rPr>
        <w:t xml:space="preserve">Figure 1.2 — Illustrative relative effort share per phase. No member exceeds roughly 55% of a phase's load; compare to the original split, where Member 1 alone carried the ingestion pipeline through every phase.</w:t>
      </w:r>
    </w:p>
    <w:tbl>
      <w:tblPr>
        <w:tblW w:type="pct" w:w="100%"/>
        <w:tblBorders>
          <w:top w:val="single" w:color="D9EEED" w:sz="4"/>
          <w:left w:val="single" w:color="0E7C7B" w:sz="36"/>
          <w:bottom w:val="single" w:color="D9EEED" w:sz="4"/>
          <w:right w:val="single" w:color="D9EEE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D9EEE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22840"/>
                <w:sz w:val="19"/>
                <w:szCs w:val="19"/>
              </w:rPr>
              <w:t xml:space="preserve">NOTE — These percentages are illustrative, not a timesheet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They exist to make an argument — that the rebalanced split doesn't quietly recreate the original bottleneck — not to be tracked literally week to week.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B8892B" w:sz="10" w:space="6"/>
        </w:pBdr>
        <w:spacing w:after="220" w:before="480"/>
      </w:pPr>
      <w:r>
        <w:rPr>
          <w:rFonts w:ascii="Cambria" w:cs="Cambria" w:eastAsia="Cambria" w:hAnsi="Cambria"/>
          <w:b/>
          <w:bCs/>
          <w:color w:val="1B3A5C"/>
          <w:sz w:val="32"/>
          <w:szCs w:val="32"/>
        </w:rPr>
        <w:t xml:space="preserve">2. Member 1 — AI / ML / MLOps Lead</w:t>
      </w:r>
    </w:p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2.1 Core Responsibilities</w:t>
      </w:r>
    </w:p>
    <w:tbl>
      <w:tblPr>
        <w:tblW w:type="pct" w:w="100%"/>
        <w:tblBorders>
          <w:top w:val="single" w:color="D7DEE6" w:sz="4"/>
          <w:left w:val="single" w:color="D7DEE6" w:sz="4"/>
          <w:bottom w:val="single" w:color="D7DEE6" w:sz="4"/>
          <w:right w:val="single" w:color="D7DEE6" w:sz="4"/>
          <w:insideH w:val="single" w:color="D7DEE6" w:sz="4"/>
          <w:insideV w:val="single" w:color="D7DEE6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1B3A5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pct" w:w="78%"/>
            <w:shd w:fill="1B3A5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Specifics</w:t>
            </w:r>
          </w:p>
        </w:tc>
      </w:tr>
      <w:tr>
        <w:tc>
          <w:tcPr>
            <w:tcW w:type="pct" w:w="2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Processing</w:t>
            </w:r>
          </w:p>
        </w:tc>
        <w:tc>
          <w:tcPr>
            <w:tcW w:type="pct" w:w="7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Hierarchical chunking logic, cross-reference extraction rules (works from documents Member 3 has already cleaned and structured).</w:t>
            </w:r>
          </w:p>
        </w:tc>
      </w:tr>
      <w:tr>
        <w:tc>
          <w:tcPr>
            <w:tcW w:type="pct" w:w="22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Embeddings</w:t>
            </w:r>
          </w:p>
        </w:tc>
        <w:tc>
          <w:tcPr>
            <w:tcW w:type="pct" w:w="78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BGE-M3 embedding pipeline, batching within the local GPU/VRAM budget.</w:t>
            </w:r>
          </w:p>
        </w:tc>
      </w:tr>
      <w:tr>
        <w:tc>
          <w:tcPr>
            <w:tcW w:type="pct" w:w="2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Retrieval</w:t>
            </w:r>
          </w:p>
        </w:tc>
        <w:tc>
          <w:tcPr>
            <w:tcW w:type="pct" w:w="7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Hybrid retrieval (RRF merge), cross-encoder reranking, cross-reference resolution, version resolution + the IPC→BNS mapping logic.</w:t>
            </w:r>
          </w:p>
        </w:tc>
      </w:tr>
      <w:tr>
        <w:tc>
          <w:tcPr>
            <w:tcW w:type="pct" w:w="22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Generation</w:t>
            </w:r>
          </w:p>
        </w:tc>
        <w:tc>
          <w:tcPr>
            <w:tcW w:type="pct" w:w="78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Prompt engineering, citation-format enforcement, Vertex AI integration, faithfulness checking.</w:t>
            </w:r>
          </w:p>
        </w:tc>
      </w:tr>
      <w:tr>
        <w:tc>
          <w:tcPr>
            <w:tcW w:type="pct" w:w="2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Evaluation</w:t>
            </w:r>
          </w:p>
        </w:tc>
        <w:tc>
          <w:tcPr>
            <w:tcW w:type="pct" w:w="7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Hand-labeled evaluation set design and maintenance, BhashaBench-Legal integration, CI-gated regression evaluation (Phase 2+).</w:t>
            </w:r>
          </w:p>
        </w:tc>
      </w:tr>
      <w:tr>
        <w:tc>
          <w:tcPr>
            <w:tcW w:type="pct" w:w="22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MLOps</w:t>
            </w:r>
          </w:p>
        </w:tc>
        <w:tc>
          <w:tcPr>
            <w:tcW w:type="pct" w:w="78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Retrieval-quality monitoring in production, model/version tracking as embedding or reranker models change.</w:t>
            </w:r>
          </w:p>
        </w:tc>
      </w:tr>
      <w:tr>
        <w:tc>
          <w:tcPr>
            <w:tcW w:type="pct" w:w="2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Judicial NLP (Phase 4+)</w:t>
            </w:r>
          </w:p>
        </w:tc>
        <w:tc>
          <w:tcPr>
            <w:tcW w:type="pct" w:w="7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OpenNyAI integration for judgment NER and rhetorical-role labelling.</w:t>
            </w:r>
          </w:p>
        </w:tc>
      </w:tr>
      <w:tr>
        <w:tc>
          <w:tcPr>
            <w:tcW w:type="pct" w:w="22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Multilingual (Phase 5+)</w:t>
            </w:r>
          </w:p>
        </w:tc>
        <w:tc>
          <w:tcPr>
            <w:tcW w:type="pct" w:w="78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Cross-lingual retrieval quality (English/Hindi).</w:t>
            </w:r>
          </w:p>
        </w:tc>
      </w:tr>
    </w:tbl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2.2 What Changed From the Original Plan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Data scraping and document cleaning — moved to Member 3.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Deployment and general infra ops — moved to Member 3 (Member 1 remains responsible for ML-specific serving concerns, e.g. embedding/reranker inference and Vertex AI integration, but not general Cloud Run/CI-CD ops).</w:t>
      </w:r>
    </w:p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2.3 Ramp-Up / Learning List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Qdrant's hybrid (dense + sparse) search API and payload filtering.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Cross-encoder reranker models and their input-length sensitivity.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OpenNyAI's model set and its intended scope (judgment structure, not statute structure — see SDD ADR-009).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Vertex AI's Gemini API, including the location="global" region-availability nuance for some model versions.</w:t>
      </w:r>
    </w:p>
    <w:p>
      <w:r>
        <w:br w:type="page"/>
      </w:r>
    </w:p>
    <w:p>
      <w:pPr>
        <w:pStyle w:val="Heading1"/>
        <w:pBdr>
          <w:bottom w:val="single" w:color="B8892B" w:sz="10" w:space="6"/>
        </w:pBdr>
        <w:spacing w:after="220" w:before="480"/>
      </w:pPr>
      <w:r>
        <w:rPr>
          <w:rFonts w:ascii="Cambria" w:cs="Cambria" w:eastAsia="Cambria" w:hAnsi="Cambria"/>
          <w:b/>
          <w:bCs/>
          <w:color w:val="1B3A5C"/>
          <w:sz w:val="32"/>
          <w:szCs w:val="32"/>
        </w:rPr>
        <w:t xml:space="preserve">3. Member 2 — Frontend / Product Engineer</w:t>
      </w:r>
    </w:p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3.1 Core Responsibilities</w:t>
      </w:r>
    </w:p>
    <w:tbl>
      <w:tblPr>
        <w:tblW w:type="pct" w:w="100%"/>
        <w:tblBorders>
          <w:top w:val="single" w:color="D7DEE6" w:sz="4"/>
          <w:left w:val="single" w:color="D7DEE6" w:sz="4"/>
          <w:bottom w:val="single" w:color="D7DEE6" w:sz="4"/>
          <w:right w:val="single" w:color="D7DEE6" w:sz="4"/>
          <w:insideH w:val="single" w:color="D7DEE6" w:sz="4"/>
          <w:insideV w:val="single" w:color="D7DEE6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1B3A5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pct" w:w="78%"/>
            <w:shd w:fill="1B3A5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Specifics</w:t>
            </w:r>
          </w:p>
        </w:tc>
      </w:tr>
      <w:tr>
        <w:tc>
          <w:tcPr>
            <w:tcW w:type="pct" w:w="2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Chat interface</w:t>
            </w:r>
          </w:p>
        </w:tc>
        <w:tc>
          <w:tcPr>
            <w:tcW w:type="pct" w:w="7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Next.js streaming chat UI — the primary user-facing surface from Phase 1.</w:t>
            </w:r>
          </w:p>
        </w:tc>
      </w:tr>
      <w:tr>
        <w:tc>
          <w:tcPr>
            <w:tcW w:type="pct" w:w="22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Citation viewer</w:t>
            </w:r>
          </w:p>
        </w:tc>
        <w:tc>
          <w:tcPr>
            <w:tcW w:type="pct" w:w="78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Source-excerpt panel, metadata display, link-through to official source; version/mapping notices (e.g. “formerly IPC 302”) from Phase 2.</w:t>
            </w:r>
          </w:p>
        </w:tc>
      </w:tr>
      <w:tr>
        <w:tc>
          <w:tcPr>
            <w:tcW w:type="pct" w:w="2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Auth &amp; account UX</w:t>
            </w:r>
          </w:p>
        </w:tc>
        <w:tc>
          <w:tcPr>
            <w:tcW w:type="pct" w:w="7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Sign-in flow built against Member 3's auth backend.</w:t>
            </w:r>
          </w:p>
        </w:tc>
      </w:tr>
      <w:tr>
        <w:tc>
          <w:tcPr>
            <w:tcW w:type="pct" w:w="22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Search UX</w:t>
            </w:r>
          </w:p>
        </w:tc>
        <w:tc>
          <w:tcPr>
            <w:tcW w:type="pct" w:w="78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Optional filters (Phase 3+: jurisdiction, doc type, date range).</w:t>
            </w:r>
          </w:p>
        </w:tc>
      </w:tr>
      <w:tr>
        <w:tc>
          <w:tcPr>
            <w:tcW w:type="pct" w:w="2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Accessibility</w:t>
            </w:r>
          </w:p>
        </w:tc>
        <w:tc>
          <w:tcPr>
            <w:tcW w:type="pct" w:w="7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WCAG 2.1 AA conformance for the public web app.</w:t>
            </w:r>
          </w:p>
        </w:tc>
      </w:tr>
      <w:tr>
        <w:tc>
          <w:tcPr>
            <w:tcW w:type="pct" w:w="22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Design system</w:t>
            </w:r>
          </w:p>
        </w:tc>
        <w:tc>
          <w:tcPr>
            <w:tcW w:type="pct" w:w="78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Tailwind/shadcn-based component library, kept consistent as new UI (admin panel, filters, citation viewer upgrades) is added phase over phase.</w:t>
            </w:r>
          </w:p>
        </w:tc>
      </w:tr>
      <w:tr>
        <w:tc>
          <w:tcPr>
            <w:tcW w:type="pct" w:w="2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Phase 7</w:t>
            </w:r>
          </w:p>
        </w:tc>
        <w:tc>
          <w:tcPr>
            <w:tcW w:type="pct" w:w="7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Native mobile app; amendment-timeline and compare-versions UI.</w:t>
            </w:r>
          </w:p>
        </w:tc>
      </w:tr>
    </w:tbl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3.2 Handoff Points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Consumes the retrieval/generation API contract from Member 1 — built against a mocked response shape early in Phase 1 so frontend and backend work proceed in parallel rather than serially.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Consumes the auth API from Member 3.</w:t>
      </w:r>
    </w:p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3.3 Ramp-Up / Learning List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Server-Sent Events / streaming response patterns for the chat UI.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Designing citation UI that stays readable with variable-length legal text excerpts.</w:t>
      </w:r>
    </w:p>
    <w:p>
      <w:r>
        <w:br w:type="page"/>
      </w:r>
    </w:p>
    <w:p>
      <w:pPr>
        <w:pStyle w:val="Heading1"/>
        <w:pBdr>
          <w:bottom w:val="single" w:color="B8892B" w:sz="10" w:space="6"/>
        </w:pBdr>
        <w:spacing w:after="220" w:before="480"/>
      </w:pPr>
      <w:r>
        <w:rPr>
          <w:rFonts w:ascii="Cambria" w:cs="Cambria" w:eastAsia="Cambria" w:hAnsi="Cambria"/>
          <w:b/>
          <w:bCs/>
          <w:color w:val="1B3A5C"/>
          <w:sz w:val="32"/>
          <w:szCs w:val="32"/>
        </w:rPr>
        <w:t xml:space="preserve">4. Member 3 — Backend / Data Engineer</w:t>
      </w:r>
    </w:p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4.1 Core Responsibilities</w:t>
      </w:r>
    </w:p>
    <w:tbl>
      <w:tblPr>
        <w:tblW w:type="pct" w:w="100%"/>
        <w:tblBorders>
          <w:top w:val="single" w:color="D7DEE6" w:sz="4"/>
          <w:left w:val="single" w:color="D7DEE6" w:sz="4"/>
          <w:bottom w:val="single" w:color="D7DEE6" w:sz="4"/>
          <w:right w:val="single" w:color="D7DEE6" w:sz="4"/>
          <w:insideH w:val="single" w:color="D7DEE6" w:sz="4"/>
          <w:insideV w:val="single" w:color="D7DEE6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shd w:fill="1B3A5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pct" w:w="78%"/>
            <w:shd w:fill="1B3A5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Specifics</w:t>
            </w:r>
          </w:p>
        </w:tc>
      </w:tr>
      <w:tr>
        <w:tc>
          <w:tcPr>
            <w:tcW w:type="pct" w:w="2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Data acquisition</w:t>
            </w:r>
          </w:p>
        </w:tc>
        <w:tc>
          <w:tcPr>
            <w:tcW w:type="pct" w:w="7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Crawlers/scrapers for official sources, ToS/robots.txt compliance checks and source-registry maintenance — moved here from the original all-Member-1 plan.</w:t>
            </w:r>
          </w:p>
        </w:tc>
      </w:tr>
      <w:tr>
        <w:tc>
          <w:tcPr>
            <w:tcW w:type="pct" w:w="22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Document cleaning</w:t>
            </w:r>
          </w:p>
        </w:tc>
        <w:tc>
          <w:tcPr>
            <w:tcW w:type="pct" w:w="78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PDF/HTML → normalized, structure-preserving text — also moved here.</w:t>
            </w:r>
          </w:p>
        </w:tc>
      </w:tr>
      <w:tr>
        <w:tc>
          <w:tcPr>
            <w:tcW w:type="pct" w:w="2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API &amp; services</w:t>
            </w:r>
          </w:p>
        </w:tc>
        <w:tc>
          <w:tcPr>
            <w:tcW w:type="pct" w:w="7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FastAPI gateway, auth service, rate limiting, admin panel backend.</w:t>
            </w:r>
          </w:p>
        </w:tc>
      </w:tr>
      <w:tr>
        <w:tc>
          <w:tcPr>
            <w:tcW w:type="pct" w:w="22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Database</w:t>
            </w:r>
          </w:p>
        </w:tc>
        <w:tc>
          <w:tcPr>
            <w:tcW w:type="pct" w:w="78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PostgreSQL schema, migrations, performance.</w:t>
            </w:r>
          </w:p>
        </w:tc>
      </w:tr>
      <w:tr>
        <w:tc>
          <w:tcPr>
            <w:tcW w:type="pct" w:w="2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Infrastructure</w:t>
            </w:r>
          </w:p>
        </w:tc>
        <w:tc>
          <w:tcPr>
            <w:tcW w:type="pct" w:w="7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GCP project setup, IAM, Docker Compose, CI/CD (GitHub Actions + Cloud Build), Cloud Run deployment.</w:t>
            </w:r>
          </w:p>
        </w:tc>
      </w:tr>
      <w:tr>
        <w:tc>
          <w:tcPr>
            <w:tcW w:type="pct" w:w="22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Observability</w:t>
            </w:r>
          </w:p>
        </w:tc>
        <w:tc>
          <w:tcPr>
            <w:tcW w:type="pct" w:w="78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Structured logging with correlation IDs, Cloud Logging/Monitoring setup.</w:t>
            </w:r>
          </w:p>
        </w:tc>
      </w:tr>
      <w:tr>
        <w:tc>
          <w:tcPr>
            <w:tcW w:type="pct" w:w="22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Feedback &amp; analytics</w:t>
            </w:r>
          </w:p>
        </w:tc>
        <w:tc>
          <w:tcPr>
            <w:tcW w:type="pct" w:w="78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Feedback-capture endpoint and storage.</w:t>
            </w:r>
          </w:p>
        </w:tc>
      </w:tr>
      <w:tr>
        <w:tc>
          <w:tcPr>
            <w:tcW w:type="pct" w:w="22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Compliance engineering (Phase 4)</w:t>
            </w:r>
          </w:p>
        </w:tc>
        <w:tc>
          <w:tcPr>
            <w:tcW w:type="pct" w:w="78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Builds the DPDP-aligned redaction pipeline (working from the policy Member 1 and the team define together).</w:t>
            </w:r>
          </w:p>
        </w:tc>
      </w:tr>
    </w:tbl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4.2 What Changed From the Original Plan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Absorbs crawling and document cleaning — the single biggest rebalancing move in this document.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Owns general infra/deployment ops end to end, rather than that being folded into the AI/ML role.</w:t>
      </w:r>
    </w:p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4.3 Ramp-Up / Learning List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FastAPI async patterns at the throughput this pipeline needs.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GCP IAM least-privilege service-account design.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Respectful, compliant crawling practice (rate limiting, robots.txt, identifying user agents, official-API-first).</w:t>
      </w:r>
    </w:p>
    <w:p>
      <w:r>
        <w:br w:type="page"/>
      </w:r>
    </w:p>
    <w:p>
      <w:pPr>
        <w:pStyle w:val="Heading1"/>
        <w:pBdr>
          <w:bottom w:val="single" w:color="B8892B" w:sz="10" w:space="6"/>
        </w:pBdr>
        <w:spacing w:after="220" w:before="480"/>
      </w:pPr>
      <w:r>
        <w:rPr>
          <w:rFonts w:ascii="Cambria" w:cs="Cambria" w:eastAsia="Cambria" w:hAnsi="Cambria"/>
          <w:b/>
          <w:bCs/>
          <w:color w:val="1B3A5C"/>
          <w:sz w:val="32"/>
          <w:szCs w:val="32"/>
        </w:rPr>
        <w:t xml:space="preserve">5. Shared Practices</w:t>
      </w:r>
    </w:p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5.1 Handoff Contracts</w:t>
      </w:r>
    </w:p>
    <w:tbl>
      <w:tblPr>
        <w:tblW w:type="pct" w:w="100%"/>
        <w:tblBorders>
          <w:top w:val="single" w:color="D7DEE6" w:sz="4"/>
          <w:left w:val="single" w:color="D7DEE6" w:sz="4"/>
          <w:bottom w:val="single" w:color="D7DEE6" w:sz="4"/>
          <w:right w:val="single" w:color="D7DEE6" w:sz="4"/>
          <w:insideH w:val="single" w:color="D7DEE6" w:sz="4"/>
          <w:insideV w:val="single" w:color="D7DEE6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B3A5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Handoff</w:t>
            </w:r>
          </w:p>
        </w:tc>
        <w:tc>
          <w:tcPr>
            <w:tcW w:type="pct" w:w="46%"/>
            <w:shd w:fill="1B3A5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What's handed off</w:t>
            </w:r>
          </w:p>
        </w:tc>
        <w:tc>
          <w:tcPr>
            <w:tcW w:type="pct" w:w="24%"/>
            <w:shd w:fill="1B3A5C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Direction</w:t>
            </w:r>
          </w:p>
        </w:tc>
      </w:tr>
      <w:tr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Cleaned, structured documents</w:t>
            </w:r>
          </w:p>
        </w:tc>
        <w:tc>
          <w:tcPr>
            <w:tcW w:type="pct" w:w="46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Normalized text with preserved Part/Chapter/Section markers, ready for chunking</w:t>
            </w:r>
          </w:p>
        </w:tc>
        <w:tc>
          <w:tcPr>
            <w:tcW w:type="pct" w:w="24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Member 3 → Member 1</w:t>
            </w:r>
          </w:p>
        </w:tc>
      </w:tr>
      <w:tr>
        <w:tc>
          <w:tcPr>
            <w:tcW w:type="pct" w:w="30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Retrieval/generation API contract</w:t>
            </w:r>
          </w:p>
        </w:tc>
        <w:tc>
          <w:tcPr>
            <w:tcW w:type="pct" w:w="46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Response shape (mocked early in Phase 1, real by end of Phase 1)</w:t>
            </w:r>
          </w:p>
        </w:tc>
        <w:tc>
          <w:tcPr>
            <w:tcW w:type="pct" w:w="24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Member 1 → Member 2</w:t>
            </w:r>
          </w:p>
        </w:tc>
      </w:tr>
      <w:tr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Auth API contract</w:t>
            </w:r>
          </w:p>
        </w:tc>
        <w:tc>
          <w:tcPr>
            <w:tcW w:type="pct" w:w="46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Sign-in/session endpoints</w:t>
            </w:r>
          </w:p>
        </w:tc>
        <w:tc>
          <w:tcPr>
            <w:tcW w:type="pct" w:w="24%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Member 3 → Member 2</w:t>
            </w:r>
          </w:p>
        </w:tc>
      </w:tr>
      <w:tr>
        <w:tc>
          <w:tcPr>
            <w:tcW w:type="pct" w:w="30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Evaluation results</w:t>
            </w:r>
          </w:p>
        </w:tc>
        <w:tc>
          <w:tcPr>
            <w:tcW w:type="pct" w:w="46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Metrics against the SRS Section 6 targets, reported each phase</w:t>
            </w:r>
          </w:p>
        </w:tc>
        <w:tc>
          <w:tcPr>
            <w:tcW w:type="pct" w:w="24%"/>
            <w:shd w:fill="F7F8FA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7"/>
                <w:sz w:val="19"/>
                <w:szCs w:val="19"/>
              </w:rPr>
              <w:t xml:space="preserve">Member 1 → whole team</w:t>
            </w:r>
          </w:p>
        </w:tc>
      </w:tr>
    </w:tbl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5.2 Cadence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Short standup at the start of each working session — what shipped, what's blocked, what handoff is needed next.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A demo at the end of every phase before that phase's production milestone is declared done — not a status update, an actual working walkthrough.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2"/>
          <w:szCs w:val="22"/>
        </w:rPr>
        <w:t xml:space="preserve">Decisions that cut across roles (e.g. a new ADR-worthy architecture choice) are logged in the SDD's ADR log, not left as a verbal agreement.</w:t>
      </w:r>
    </w:p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5.3 Definition of Ready / Definition of Done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Definition of Ready (before starting a task):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the relevant SRS requirement ID is known, and any upstream handoff (Section 5.1) it depends on has actually landed — not just been promised.</w:t>
      </w:r>
    </w:p>
    <w:p>
      <w:pPr>
        <w:pStyle w:val="ListParagraph"/>
        <w:numPr>
          <w:ilvl w:val="0"/>
          <w:numId w:val="1"/>
        </w:numPr>
        <w:spacing w:after="90" w:line="276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Definition of Done (before closing a task):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meets the SRS acceptance criterion, and — if it changes a production-facing behavior — is included in that phase's Definition of Production-Ready checklist in the Project Workflow document.</w:t>
      </w:r>
    </w:p>
    <w:p>
      <w:pPr>
        <w:pStyle w:val="Heading2"/>
        <w:spacing w:after="160" w:before="360"/>
      </w:pPr>
      <w:r>
        <w:rPr>
          <w:rFonts w:ascii="Cambria" w:cs="Cambria" w:eastAsia="Cambria" w:hAnsi="Cambria"/>
          <w:b/>
          <w:bCs/>
          <w:color w:val="1B3A5C"/>
          <w:sz w:val="26"/>
          <w:szCs w:val="26"/>
        </w:rPr>
        <w:t xml:space="preserve">5.4 Decision-Making</w:t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Cross-cutting technical disagreements default to whoever owns the affected area (Member 1 for retrieval/generation quality trade-offs, Member 2 for UX trade-offs, Member 3 for infra/data trade-offs); disagreements that cross areas are resolved by brief written discussion captured as an ADR, so the reasoning — not just the outcome — is preserved for the next phase.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EE6" w:sz="4" w:space="4"/>
      </w:pBdr>
      <w:tabs>
        <w:tab w:val="center" w:pos="4513"/>
        <w:tab w:val="right" w:pos="9026"/>
      </w:tabs>
    </w:pPr>
    <w:r>
      <w:rPr>
        <w:rFonts w:ascii="Calibri" w:cs="Calibri" w:eastAsia="Calibri" w:hAnsi="Calibri"/>
        <w:color w:val="5B6B7C"/>
        <w:sz w:val="16"/>
        <w:szCs w:val="16"/>
      </w:rPr>
      <w:t xml:space="preserve">v1.0 — July 2026</w:t>
    </w:r>
    <w:r>
      <w:rPr>
        <w:rFonts w:ascii="Calibri" w:cs="Calibri" w:eastAsia="Calibri" w:hAnsi="Calibri"/>
        <w:color w:val="5B6B7C"/>
        <w:sz w:val="16"/>
        <w:szCs w:val="16"/>
      </w:rPr>
      <w:t xml:space="preserve">	Page </w:t>
    </w:r>
    <w:r>
      <w:rPr>
        <w:rFonts w:ascii="Calibri" w:cs="Calibri" w:eastAsia="Calibri" w:hAnsi="Calibri"/>
        <w:color w:val="5B6B7C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6B7C"/>
        <w:sz w:val="16"/>
        <w:szCs w:val="16"/>
      </w:rPr>
      <w:t xml:space="preserve"> of </w:t>
    </w:r>
    <w:r>
      <w:rPr>
        <w:rFonts w:ascii="Calibri" w:cs="Calibri" w:eastAsia="Calibri" w:hAnsi="Calibri"/>
        <w:color w:val="5B6B7C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7DEE6" w:sz="4" w:space="4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1B3A5C"/>
        <w:sz w:val="16"/>
        <w:szCs w:val="16"/>
      </w:rPr>
      <w:t xml:space="preserve">DharaAI</w:t>
    </w:r>
    <w:r>
      <w:rPr>
        <w:rFonts w:ascii="Calibri" w:cs="Calibri" w:eastAsia="Calibri" w:hAnsi="Calibri"/>
        <w:i/>
        <w:iCs/>
        <w:color w:val="5B6B7C"/>
        <w:sz w:val="16"/>
        <w:szCs w:val="16"/>
      </w:rPr>
      <w:t xml:space="preserve">  ·  Confidential Draft</w:t>
    </w:r>
    <w:r>
      <w:rPr>
        <w:rFonts w:ascii="Calibri" w:cs="Calibri" w:eastAsia="Calibri" w:hAnsi="Calibri"/>
        <w:color w:val="5B6B7C"/>
        <w:sz w:val="16"/>
        <w:szCs w:val="16"/>
      </w:rPr>
      <w:t xml:space="preserve">	Role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mbria" w:cs="Cambria" w:eastAsia="Cambria" w:hAnsi="Cambria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mbria" w:cs="Cambria" w:eastAsia="Cambria" w:hAnsi="Cambria"/>
      <w:b/>
      <w:bCs/>
      <w:color w:val="8C6A1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067274e0aaa09d8df1d6c281ff3e1307b5baaff.png"/><Relationship Id="rId10" Type="http://schemas.openxmlformats.org/officeDocument/2006/relationships/image" Target="media/e4551164025a20a2dd4e5f1b4baa1725098d4ff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Division</dc:title>
  <dc:creator>DharaAI Project</dc:creator>
  <cp:lastModifiedBy>Un-named</cp:lastModifiedBy>
  <cp:revision>1</cp:revision>
  <dcterms:created xsi:type="dcterms:W3CDTF">2026-07-26T17:55:00.646Z</dcterms:created>
  <dcterms:modified xsi:type="dcterms:W3CDTF">2026-07-26T17:55:00.647Z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