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B3A5C"/>
          <w:sz w:val="64"/>
          <w:szCs w:val="64"/>
        </w:rPr>
        <w:t xml:space="preserve">DharaAI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8C6A1F"/>
          <w:sz w:val="24"/>
          <w:szCs w:val="24"/>
        </w:rPr>
        <w:t xml:space="preserve">An AI-Powered Indian Legal Intelligence Platform</w:t>
      </w:r>
    </w:p>
    <w:p>
      <w:pPr>
        <w:pBdr>
          <w:top w:val="single" w:color="B8892B" w:sz="14" w:space="10"/>
          <w:bottom w:val="single" w:color="B8892B" w:sz="14" w:space="10"/>
        </w:pBdr>
        <w:spacing w:after="200" w:before="200"/>
        <w:jc w:val="center"/>
      </w:pPr>
      <w:r>
        <w:rPr>
          <w:rFonts w:ascii="Cambria" w:cs="Cambria" w:eastAsia="Cambria" w:hAnsi="Cambria"/>
          <w:b/>
          <w:bCs/>
          <w:color w:val="122840"/>
          <w:sz w:val="40"/>
          <w:szCs w:val="40"/>
        </w:rPr>
        <w:t xml:space="preserve">MASTER DOCUMENT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B6B7C"/>
          <w:sz w:val="24"/>
          <w:szCs w:val="24"/>
        </w:rPr>
        <w:t xml:space="preserve">Architecture, technology stack, roadmap, and business framing — in one place</w:t>
      </w:r>
    </w:p>
    <w:p>
      <w:pPr>
        <w:spacing w:after="600"/>
      </w:pPr>
    </w:p>
    <w:tbl>
      <w:tblPr>
        <w:tblW w:type="pct" w:w="7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7DEE6" w:sz="2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Document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 of 5 — Master Document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Version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Date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26 July 2026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Status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Draft for team review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C"/>
                <w:sz w:val="19"/>
                <w:szCs w:val="19"/>
              </w:rPr>
              <w:t xml:space="preserve">Companion documents</w:t>
            </w:r>
          </w:p>
        </w:tc>
        <w:tc>
          <w:tcPr>
            <w:tcW w:type="pct" w:w="6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SRS · SDD · Project Workflow · Role Division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60"/>
      </w:pPr>
      <w:r>
        <w:rPr>
          <w:rFonts w:ascii="Calibri" w:cs="Calibri" w:eastAsia="Calibri" w:hAnsi="Calibri"/>
          <w:i/>
          <w:iCs/>
          <w:color w:val="5B6B7C"/>
          <w:sz w:val="16"/>
          <w:szCs w:val="16"/>
        </w:rPr>
        <w:t xml:space="preserve">(If this outline looks empty, right-click it and choose “Update Field” — Word/LibreOffice recalculate it from the headings automatically.)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DharaAI is an AI-powered legal intelligence platform for Indian law: a hybrid-retrieval, citation-grounded question-answering system that starts with the Constitution and the new BNS/BNSS/BSA criminal codes and is architected to extend — as a data-ingestion task, not a rebuild — through central Acts, court judgments, state law, and regulatory material. It answers a legal question the way a careful researcher would: find the exact provision, quote it precisely, cite it, and say clearly when it doesn't know.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The core bet is architectural rigor applied to an underserved segment. India's legal-tech market already has strong editorial databases (Indian Kanoon, SCC Online, Manupatra) and a growing wave of citizen-facing legal chatbots — but, from available public information, none of them publish retrieval-precision metrics, treat the IPC→BNS legal transition as a first-class feature, or offer a genuinely extensible architecture. DharaAI's MVP targets law students and judiciary/bar-exam aspirants specifically — a segment that is both differentiated from the crowded citizen-chatbot space and objectively benchmarkable against BhashaBench-Legal, a real Indian legal-exam question set.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pct" w:w="8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Problem</w:t>
            </w:r>
          </w:p>
        </w:tc>
        <w:tc>
          <w:tcPr>
            <w:tcW w:type="pct" w:w="8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Legal information in India is fragmented across editorial databases built for keyword search, not natural-language questions — and the citizen-facing AI alternatives that do exist don't publish evidence of retrieval quality or handle the 2024 criminal-law code transition explicitly.</w:t>
            </w:r>
          </w:p>
        </w:tc>
      </w:tr>
      <w:tr>
        <w:tc>
          <w:tcPr>
            <w:tcW w:type="pct" w:w="2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Solution</w:t>
            </w:r>
          </w:p>
        </w:tc>
        <w:tc>
          <w:tcPr>
            <w:tcW w:type="pct" w:w="8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hybrid-retrieval (keyword + semantic), citation-grounded, faithfulness-checked answer engine, built on a generic legal-document data model that scales across law types without architectural rework.</w:t>
            </w:r>
          </w:p>
        </w:tc>
      </w:tr>
      <w:t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Initial wedge</w:t>
            </w:r>
          </w:p>
        </w:tc>
        <w:tc>
          <w:tcPr>
            <w:tcW w:type="pct" w:w="8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Law students &amp; judiciary/bar-exam aspirants — benchmarkable, underserved by rigorous tooling, naturally extends to general citizens without extra engineering.</w:t>
            </w:r>
          </w:p>
        </w:tc>
      </w:tr>
      <w:tr>
        <w:tc>
          <w:tcPr>
            <w:tcW w:type="pct" w:w="2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Differentiator</w:t>
            </w:r>
          </w:p>
        </w:tc>
        <w:tc>
          <w:tcPr>
            <w:tcW w:type="pct" w:w="8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Measured retrieval quality (published recall/faithfulness numbers), the IPC→BNS repealed-mapping feature, and a platform architecture (developer API path from Phase 6) rather than a single-purpose chatbot.</w:t>
            </w:r>
          </w:p>
        </w:tc>
      </w:tr>
      <w:t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Team</w:t>
            </w:r>
          </w:p>
        </w:tc>
        <w:tc>
          <w:tcPr>
            <w:tcW w:type="pct" w:w="8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 people — AI/ML/MLOps, Frontend, Backend/Data (full split in the Role Division document).</w:t>
            </w:r>
          </w:p>
        </w:tc>
      </w:tr>
      <w:tr>
        <w:tc>
          <w:tcPr>
            <w:tcW w:type="pct" w:w="2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Stack</w:t>
            </w:r>
          </w:p>
        </w:tc>
        <w:tc>
          <w:tcPr>
            <w:tcW w:type="pct" w:w="8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Next.js · FastAPI · PostgreSQL · Qdrant · BGE-M3 · Vertex AI (Gemini) · Google Cloud Platform.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2. Market &amp; Competitive Landscape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Three distinct tiers of existing product shape where DharaAI needs to differentiate.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2.1 Editorial / Static Legal Databases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pct" w:w="7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Indian Kanoon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Free, comprehensive full-text search across courts and tribunals since 2008; recently added a paid “Prism AI” tier for AI-assisted search on top of its existing search engine.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SCC Online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Editorial gold standard with strong headnotes; introduced neural-network-based case categorization by legal principle in its 2026 “Digest 3.0” update. Premium/subscription-priced, aimed at practicing lawyers.</w:t>
            </w:r>
          </w:p>
        </w:tc>
      </w:tr>
      <w:tr>
        <w:tc>
          <w:tcPr>
            <w:tcW w:type="pct" w:w="2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Manupatra</w:t>
            </w:r>
          </w:p>
        </w:tc>
        <w:tc>
          <w:tcPr>
            <w:tcW w:type="pct" w:w="7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Strong citator features (flags overruled cases) and “decision heatmap” analytics showing how courts have ruled on a topic; broad state-enactment coverage.</w:t>
            </w:r>
          </w:p>
        </w:tc>
      </w:tr>
      <w:tr>
        <w:tc>
          <w:tcPr>
            <w:tcW w:type="pct" w:w="2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e-SCR (Supreme Court's own portal)</w:t>
            </w:r>
          </w:p>
        </w:tc>
        <w:tc>
          <w:tcPr>
            <w:tcW w:type="pct" w:w="7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Free, official, digitized Supreme Court judgments back to 1950; reached what the Court has described as full maturity in 2026 — strong on authority and completeness, not built for natural-language Q&amp;A.</w:t>
            </w:r>
          </w:p>
        </w:tc>
      </w:tr>
    </w:tbl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2.2 Citizen-Facing Legal AI Chatbots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niche is more crowded than it might first appear: Nyaaya (operating since 2016), Nyaya Setu, NyayaSathi, Nyaya Saathi, Nyaay AI, NyayaDarpanAI, and BharatNyay.ai are all currently active citizen-facing Indian legal-AI products, several explicitly using “Nyaya”-prefixed names. At least one (Nyaya Saathi) explicitly advertises a RAG pipeline over Indian Kanoon content.</w:t>
      </w:r>
    </w:p>
    <w:tbl>
      <w:tblPr>
        <w:tblW w:type="pct" w:w="100%"/>
        <w:tblBorders>
          <w:top w:val="single" w:color="DCEEE2" w:sz="4"/>
          <w:left w:val="single" w:color="1E7B45" w:sz="36"/>
          <w:bottom w:val="single" w:color="DCEEE2" w:sz="4"/>
          <w:right w:val="single" w:color="DCEEE2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CEE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40"/>
                <w:sz w:val="19"/>
                <w:szCs w:val="19"/>
              </w:rPr>
              <w:t xml:space="preserve">FIX APPLIED — Why this matters for positioning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This is why DharaAI's working name deliberately avoids the Nyaya-prefixed pattern (“Dhara” — the Hindi legal term for “Section” — was chosen instead), and why the MVP persona targets law students/exam-prep rather than general citizens: that specific niche already has multiple funded and unfunded entrants, none of which, from public information, publish retrieval-quality evidence or address the IPC→BNS transition as a named feature.</w:t>
            </w:r>
          </w:p>
        </w:tc>
      </w:tr>
    </w:tbl>
    <w:p>
      <w:pPr>
        <w:spacing w:after="160"/>
      </w:pP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2.3 Global Legal-AI Comparables (Architecture Reference, Not Direct Competitors)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Harvey AI — built for large law firms (60%+ of the AmLaw 100, reportedly valued in the $3–5B range) — is architected around sentence-level citations and a three-pronged “lawyer-in-the-loop” evaluation methodology rather than a single benchmark score. That citation-precision-first, evaluation-rigorous philosophy is directly relevant to DharaAI's design even though Harvey targets BigLaw practice, not the Indian citizen/student segment.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2.4 Competitive Positioning Map</w:t>
      </w:r>
    </w:p>
    <w:p>
      <w:pPr>
        <w:spacing w:after="60" w:before="160"/>
        <w:jc w:val="center"/>
      </w:pPr>
      <w:r>
        <w:drawing>
          <wp:inline distT="0" distB="0" distL="0" distR="0">
            <wp:extent cx="5762625" cy="499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2.1 — Grounded-retrieval + exam/student focus is the least crowded combination on the map.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3. Product Overview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3.1 Vision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trusted AI layer over Indian law — accurate, explainable, and source-grounded — usable by everyone from a first-year law student to, eventually, a compliance team at a fintech startup, all served by the same underlying retrieval engine and generic document model.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3.2 Personas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pct" w:w="1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pct" w:w="5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Core need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Law students &amp; exam aspirants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 (MVP)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Precise, citation-backed answers; benchmarkable accuracy</w:t>
            </w:r>
          </w:p>
        </w:tc>
      </w:tr>
      <w:tr>
        <w:tc>
          <w:tcPr>
            <w:tcW w:type="pct" w:w="3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Informed citizens</w:t>
            </w:r>
          </w:p>
        </w:tc>
        <w:tc>
          <w:tcPr>
            <w:tcW w:type="pct" w:w="1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 (secondary)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Plain-language explanation of their rights and obligations</w:t>
            </w:r>
          </w:p>
        </w:tc>
      </w:tr>
      <w:tr>
        <w:tc>
          <w:tcPr>
            <w:tcW w:type="pct" w:w="32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Lawyers &amp; researchers</w:t>
            </w:r>
          </w:p>
        </w:tc>
        <w:tc>
          <w:tcPr>
            <w:tcW w:type="pct" w:w="1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4+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Case-law depth, version history, higher trust bar</w:t>
            </w:r>
          </w:p>
        </w:tc>
      </w:tr>
      <w:tr>
        <w:tc>
          <w:tcPr>
            <w:tcW w:type="pct" w:w="32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Businesses / govtech / fintech (via API)</w:t>
            </w:r>
          </w:p>
        </w:tc>
        <w:tc>
          <w:tcPr>
            <w:tcW w:type="pct" w:w="1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6+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Programmatic, compliance-grounded legal Q&amp;A</w:t>
            </w:r>
          </w:p>
        </w:tc>
      </w:tr>
    </w:tbl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3.3 What Makes This Defensible, Not Just Different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Hybrid retrieval (keyword + semantic + rerank) instead of vector-search-only — legal text's exact identifiers (“Section 144”) are precisely what pure embeddings under-retrieve.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Faithfulness-checked citations — a second-pass check before an answer ships, not just a citation shown for appearance.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The IPC→BNS repealed-mapping feature — a concrete, demonstrable answer to a real, high-volume legal-transition question that generic tools handle poorly.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 generic data model — the platform's growth path (new laws, new jurisdictions) is a data task, evidenced in the architecture itself, not a roadmap promise.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4. System Architecture</w:t>
      </w:r>
    </w:p>
    <w:p>
      <w:pPr>
        <w:spacing w:after="60" w:before="160"/>
        <w:jc w:val="center"/>
      </w:pPr>
      <w:r>
        <w:drawing>
          <wp:inline distT="0" distB="0" distL="0" distR="0">
            <wp:extent cx="60388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4.1 — End-to-end pipeline (full detail in the SDD).</w:t>
      </w:r>
    </w:p>
    <w:p>
      <w:pPr>
        <w:spacing w:after="60" w:before="160"/>
        <w:jc w:val="center"/>
      </w:pPr>
      <w:r>
        <w:drawing>
          <wp:inline distT="0" distB="0" distL="0" distR="0">
            <wp:extent cx="5124450" cy="870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4.2 — Query to grounded answer.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Full architectural detail — component-by-component design, database schema, API surface, algorithms, security threat model, and the reasoned Architecture Decision Record log — lives in the companion Software Design Document. This section is the map; the SDD is the territory.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5. Technology Stack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Every choice below is sized to what a 3-person team can actually operate, and cross-checked against what comparable production systems use — not selected from a generic “modern AI stack” checklist.</w:t>
      </w:r>
    </w:p>
    <w:p>
      <w:pPr>
        <w:spacing w:after="60" w:before="160"/>
        <w:jc w:val="center"/>
      </w:pPr>
      <w:r>
        <w:drawing>
          <wp:inline distT="0" distB="0" distL="0" distR="0">
            <wp:extent cx="584835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5.1 — The stack, layer by layer.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5.1 Layer-by-Layer Rationale, With Comparables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pct" w:w="34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DharaAI choice</w:t>
            </w:r>
          </w:p>
        </w:tc>
        <w:tc>
          <w:tcPr>
            <w:tcW w:type="pct" w:w="5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 it compares</w:t>
            </w:r>
          </w:p>
        </w:tc>
      </w:tr>
      <w:t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Retrieval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Qdrant native hybrid (dense + sparse) search, RRF fusion, cross-encoder rerank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Perplexity's production search stack similarly retrieves at sub-document (chunk) granularity and fuses multiple signals before generation, rather than relying on a single embedding pass — the same principle, applied here to legal text's identifier-heavy structure.</w:t>
            </w:r>
          </w:p>
        </w:tc>
      </w:tr>
      <w:tr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Citations</w:t>
            </w:r>
          </w:p>
        </w:tc>
        <w:tc>
          <w:tcPr>
            <w:tcW w:type="pct" w:w="3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Section-level, faithfulness-checked before the answer ships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Harvey AI's stated design emphasis on sentence-level citations and lawyer-in-the-loop evaluation validates citation-precision as a first-order design goal, not a UI nicety, in serious legal-AI products.</w:t>
            </w:r>
          </w:p>
        </w:tc>
      </w:tr>
      <w:t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Generation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Vertex AI (Gemini), no self-hosted LLM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Consistent with the broader industry pattern of separating a specialized retrieval layer from a general-purpose hosted LLM for generation, rather than fine-tuning or self-hosting a generation model before there's a proven need to.</w:t>
            </w:r>
          </w:p>
        </w:tc>
      </w:tr>
      <w:tr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Data layer</w:t>
            </w:r>
          </w:p>
        </w:tc>
        <w:tc>
          <w:tcPr>
            <w:tcW w:type="pct" w:w="3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PostgreSQL + Qdrant, no separate Elasticsearch/OpenSearch at MVP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Qdrant's native hybrid support removes a service that many earlier RAG architectures needed only because their vector database lacked built-in sparse-vector support.</w:t>
            </w:r>
          </w:p>
        </w:tc>
      </w:tr>
      <w:t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Infra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 Run first, GKE deferred until justified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Mirrors the just-in-time infrastructure principle used throughout the design (SDD ADR log) — provision for the load that exists, not the load that might exist.</w:t>
            </w:r>
          </w:p>
        </w:tc>
      </w:tr>
    </w:tbl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5.2 What's Deliberately Not in the Stack (Yet)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 (yet) used</w:t>
            </w:r>
          </w:p>
        </w:tc>
        <w:tc>
          <w:tcPr>
            <w:tcW w:type="pct" w:w="74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Why, and when it would be reconsidered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Elasticsearch / OpenSearch</w:t>
            </w:r>
          </w:p>
        </w:tc>
        <w:tc>
          <w:tcPr>
            <w:tcW w:type="pct" w:w="7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Qdrant's native hybrid search covers Phase 1–3 needs; reconsidered only if faceted-search requirements at Phase 6+ scale specifically need it.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Celery / Redis</w:t>
            </w:r>
          </w:p>
        </w:tc>
        <w:tc>
          <w:tcPr>
            <w:tcW w:type="pct" w:w="7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Ingestion at Phase 1–2 volume runs fine as synchronous, resumable jobs; reconsidered when ingestion genuinely needs to be asynchronous at scale.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Prometheus / Grafana</w:t>
            </w:r>
          </w:p>
        </w:tc>
        <w:tc>
          <w:tcPr>
            <w:tcW w:type="pct" w:w="7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Cloud Logging/Monitoring (already part of the GCP deployment) covers Phase 1–2 observability; reconsidered once there's enough in production to justify dedicated dashboards.</w:t>
            </w:r>
          </w:p>
        </w:tc>
      </w:tr>
      <w:tr>
        <w:tc>
          <w:tcPr>
            <w:tcW w:type="pct" w:w="2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 dedicated graph database</w:t>
            </w:r>
          </w:p>
        </w:tc>
        <w:tc>
          <w:tcPr>
            <w:tcW w:type="pct" w:w="7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cross-reference graph is one-hop at Phase 1–3 scope — a Postgres adjacency array and a reverse-lookup query cover it without a seventh service to operate.</w:t>
            </w:r>
          </w:p>
        </w:tc>
      </w:tr>
      <w:tr>
        <w:tc>
          <w:tcPr>
            <w:tcW w:type="pct" w:w="2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Self-hosted / fine-tuned LLM</w:t>
            </w:r>
          </w:p>
        </w:tc>
        <w:tc>
          <w:tcPr>
            <w:tcW w:type="pct" w:w="7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The local dev hardware's GPU/VRAM budget can't host a capable LLM alongside embeddings and reranking; Vertex AI is used for inference only, with no fine-tuning until Phase 1–2 prove the concept.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6. Roadmap Summary</w:t>
      </w:r>
    </w:p>
    <w:p>
      <w:pPr>
        <w:spacing w:after="60" w:before="160"/>
        <w:jc w:val="center"/>
      </w:pPr>
      <w:r>
        <w:drawing>
          <wp:inline distT="0" distB="0" distL="0" distR="0">
            <wp:extent cx="60388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6.1 — Full roadmap; per-phase task breakdown and Definition of Done in the Project Workflow document.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Phase 0–2 (roughly the first 11 weeks) is the complete, demonstrable core: a live, publicly reachable product answering Constitution and BNS/BNSS/BSA questions with measured retrieval quality and a working IPC→BNS mapping feature. Everything from Phase 3 onward is genuine platform growth, not padding — but it is sequenced so each phase is a real, shippable increment rather than a promise bundled into a single “full vision” release.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7. Team Summary</w:t>
      </w:r>
    </w:p>
    <w:p>
      <w:pPr>
        <w:spacing w:after="60" w:before="160"/>
        <w:jc w:val="center"/>
      </w:pPr>
      <w:r>
        <w:drawing>
          <wp:inline distT="0" distB="0" distL="0" distR="0">
            <wp:extent cx="603885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5B6B7C"/>
          <w:sz w:val="18"/>
          <w:szCs w:val="18"/>
        </w:rPr>
        <w:t xml:space="preserve">Figure 7.1 — Full responsibilities, handoffs, and ramp-up plan in the Role Division document.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8. Business Model &amp; Monetization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 part of the original technical planning conversation, but a necessary companion to “treat this as a startup” — laid out here as a directional model to validate, not a committed plan.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pct" w:w="34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5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Free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Citizens, students (rate-limited)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Ad-free, rate-limited access; the growth and trust-building layer.</w:t>
            </w:r>
          </w:p>
        </w:tc>
      </w:tr>
      <w:tr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</w:t>
            </w:r>
          </w:p>
        </w:tc>
        <w:tc>
          <w:tcPr>
            <w:tcW w:type="pct" w:w="3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Serious students/exam aspirants, individual lawyers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Subscription: unlimited queries, deeper case-law access (post-Phase 4), version-comparison tools (Phase 7).</w:t>
            </w:r>
          </w:p>
        </w:tc>
      </w:tr>
      <w:t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API / B2B</w:t>
            </w:r>
          </w:p>
        </w:tc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Legaltech, fintech, govtech platforms needing compliance-grounded legal Q&amp;A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Usage-based pricing on the Phase 6+ developer API.</w:t>
            </w:r>
          </w:p>
        </w:tc>
      </w:tr>
      <w:tr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B2G (directional)</w:t>
            </w:r>
          </w:p>
        </w:tc>
        <w:tc>
          <w:tcPr>
            <w:tcW w:type="pct" w:w="3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State legal-aid or digital-governance integrations</w:t>
            </w:r>
          </w:p>
        </w:tc>
        <w:tc>
          <w:tcPr>
            <w:tcW w:type="pct" w:w="5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Explored only after Pro/API tiers show real traction — government sales cycles are long and shouldn't gate early validation.</w:t>
            </w:r>
          </w:p>
        </w:tc>
      </w:tr>
    </w:tbl>
    <w:tbl>
      <w:tblPr>
        <w:tblW w:type="pct" w:w="100%"/>
        <w:tblBorders>
          <w:top w:val="single" w:color="F3E4C4" w:sz="4"/>
          <w:left w:val="single" w:color="B8892B" w:sz="36"/>
          <w:bottom w:val="single" w:color="F3E4C4" w:sz="4"/>
          <w:right w:val="single" w:color="F3E4C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3E4C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40"/>
                <w:sz w:val="19"/>
                <w:szCs w:val="19"/>
              </w:rPr>
              <w:t xml:space="preserve">ASSUMPTION — Treated as hypotheses, not commitments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None of these tiers should be built out before the Phase 1–2 product proves retrieval quality and real usage. The point of naming them now is so Phase 3+ product decisions (e.g. what goes behind a paywall) aren't made ad hoc later.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9. Risk Register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pct" w:w="16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pct" w:w="56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Answer treated as legal advice; user relies on a wrong high-stakes answer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Legal/liability</w:t>
            </w:r>
          </w:p>
        </w:tc>
        <w:tc>
          <w:tcPr>
            <w:tcW w:type="pct" w:w="5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UPL-safe disclaimer-and-scope-limiting design is a MUST requirement (SRS FR-SEC-004), not launch polish.</w:t>
            </w:r>
          </w:p>
        </w:tc>
      </w:tr>
      <w:tr>
        <w:tc>
          <w:tcPr>
            <w:tcW w:type="pct" w:w="2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Source portal ToS violation during crawling</w:t>
            </w:r>
          </w:p>
        </w:tc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Legal/compliance</w:t>
            </w:r>
          </w:p>
        </w:tc>
        <w:tc>
          <w:tcPr>
            <w:tcW w:type="pct" w:w="5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Source registry compliance gate (FR-ING-001) blocks ingestion from any source without a logged ToS review.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Personal data in judgments mishandled under DPDP Act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Legal/compliance</w:t>
            </w:r>
          </w:p>
        </w:tc>
        <w:tc>
          <w:tcPr>
            <w:tcW w:type="pct" w:w="5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Dedicated redaction/exclusion pipeline (FR-ING-006) is a Phase 4 production-milestone blocker, not an add-later item.</w:t>
            </w:r>
          </w:p>
        </w:tc>
      </w:tr>
      <w:tr>
        <w:tc>
          <w:tcPr>
            <w:tcW w:type="pct" w:w="2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Retrieval quality doesn't hold up outside hand-picked demo questions</w:t>
            </w:r>
          </w:p>
        </w:tc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Product/technical</w:t>
            </w:r>
          </w:p>
        </w:tc>
        <w:tc>
          <w:tcPr>
            <w:tcW w:type="pct" w:w="5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Numeric, pre-committed evaluation targets (SRS Section 6) with CI-gated regression testing from Phase 2.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Team bandwidth (3-person, part-time-realistic team) vs. roadmap ambition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Execution</w:t>
            </w:r>
          </w:p>
        </w:tc>
        <w:tc>
          <w:tcPr>
            <w:tcW w:type="pct" w:w="5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Phase durations are explicitly framed as revisable planning inputs (Project Workflow, Section 1.2); Phase 8 is explicitly directional rather than scheduled.</w:t>
            </w:r>
          </w:p>
        </w:tc>
      </w:tr>
      <w:tr>
        <w:tc>
          <w:tcPr>
            <w:tcW w:type="pct" w:w="28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Competitive response from an existing citizen-chatbot entrant</w:t>
            </w:r>
          </w:p>
        </w:tc>
        <w:tc>
          <w:tcPr>
            <w:tcW w:type="pct" w:w="1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Market</w:t>
            </w:r>
          </w:p>
        </w:tc>
        <w:tc>
          <w:tcPr>
            <w:tcW w:type="pct" w:w="5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Differentiation is architectural (measured quality, IPC→BNS mapping, extensibility) rather than a feature an incumbent could trivially copy without similar retrieval-engineering investment.</w:t>
            </w:r>
          </w:p>
        </w:tc>
      </w:tr>
      <w:tr>
        <w:tc>
          <w:tcPr>
            <w:tcW w:type="pct" w:w="28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Hosting/inference cost at Phase 6+ scale not yet budgeted in ₹ terms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Financial</w:t>
            </w:r>
          </w:p>
        </w:tc>
        <w:tc>
          <w:tcPr>
            <w:tcW w:type="pct" w:w="5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Explicitly flagged as an open issue (SRS Appendix C) rather than assumed away; to be modeled once Phase 1–2 usage gives real per-query cost data.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10. Success Metrics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10.1 Product Quality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pct" w:w="40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Recall@5 (hand-labeled evaluation set)</w:t>
            </w:r>
          </w:p>
        </w:tc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 85%</w:t>
            </w:r>
          </w:p>
        </w:tc>
      </w:tr>
      <w:tr>
        <w:tc>
          <w:tcPr>
            <w:tcW w:type="pct" w:w="6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Citation faithfulness</w:t>
            </w:r>
          </w:p>
        </w:tc>
        <w:tc>
          <w:tcPr>
            <w:tcW w:type="pct" w:w="4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pct" w:w="6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Out-of-scope refusal accuracy</w:t>
            </w:r>
          </w:p>
        </w:tc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&gt; 95%</w:t>
            </w:r>
          </w:p>
        </w:tc>
      </w:tr>
      <w:tr>
        <w:tc>
          <w:tcPr>
            <w:tcW w:type="pct" w:w="6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Retrieval latency, p95</w:t>
            </w:r>
          </w:p>
        </w:tc>
        <w:tc>
          <w:tcPr>
            <w:tcW w:type="pct" w:w="40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&lt; 500 ms</w:t>
            </w:r>
          </w:p>
        </w:tc>
      </w:tr>
    </w:tbl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10.2 Usage &amp; Business (Directional, Post-Launch)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Monthly active users and query volume, tracked from the Phase 1 production milestone.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Free-to-Pro conversion rate, once the Pro tier exists (Section 8).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Developer API adoption (registered API keys, call volume), once the API ships (Phase 6).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b/>
          <w:bCs/>
          <w:color w:val="1B3A5C"/>
          <w:sz w:val="26"/>
          <w:szCs w:val="26"/>
        </w:rPr>
        <w:t xml:space="preserve">10.3 Technical Health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CI-gated evaluation regression rate (target: zero unreviewed regressions reach production, from Phase 2 onward).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Uptime against the 99.5% target (SRS NFR-REL, Section 5.3).</w:t>
      </w:r>
    </w:p>
    <w:p>
      <w:r>
        <w:br w:type="page"/>
      </w:r>
    </w:p>
    <w:p>
      <w:pPr>
        <w:pStyle w:val="Heading1"/>
        <w:pBdr>
          <w:bottom w:val="single" w:color="B8892B" w:sz="10" w:space="6"/>
        </w:pBdr>
        <w:spacing w:after="220" w:before="480"/>
      </w:pPr>
      <w:r>
        <w:rPr>
          <w:rFonts w:ascii="Cambria" w:cs="Cambria" w:eastAsia="Cambria" w:hAnsi="Cambria"/>
          <w:b/>
          <w:bCs/>
          <w:color w:val="1B3A5C"/>
          <w:sz w:val="32"/>
          <w:szCs w:val="32"/>
        </w:rPr>
        <w:t xml:space="preserve">Appendix — Document Set Overview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This Master Document is the fifth of a five-document set. For implementation-level detail, see:</w:t>
      </w:r>
    </w:p>
    <w:tbl>
      <w:tblPr>
        <w:tblW w:type="pct" w:w="100%"/>
        <w:tblBorders>
          <w:top w:val="single" w:color="D7DEE6" w:sz="4"/>
          <w:left w:val="single" w:color="D7DEE6" w:sz="4"/>
          <w:bottom w:val="single" w:color="D7DEE6" w:sz="4"/>
          <w:right w:val="single" w:color="D7DEE6" w:sz="4"/>
          <w:insideH w:val="single" w:color="D7DEE6" w:sz="4"/>
          <w:insideV w:val="single" w:color="D7DEE6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pct" w:w="66%"/>
            <w:shd w:fill="1B3A5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Software Requirements Specification (SRS)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 functional and non-functional requirements, each with a stable ID, priority, and acceptance criterion.</w:t>
            </w:r>
          </w:p>
        </w:tc>
      </w:tr>
      <w:tr>
        <w:tc>
          <w:tcPr>
            <w:tcW w:type="pct" w:w="3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Software Design Document (SDD)</w:t>
            </w:r>
          </w:p>
        </w:tc>
        <w:tc>
          <w:tcPr>
            <w:tcW w:type="pct" w:w="6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Architecture, data schemas, component design, API design, algorithms, security threat model, and the ADR log.</w:t>
            </w:r>
          </w:p>
        </w:tc>
      </w:tr>
      <w:tr>
        <w:tc>
          <w:tcPr>
            <w:tcW w:type="pct" w:w="34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Project Workflow</w:t>
            </w:r>
          </w:p>
        </w:tc>
        <w:tc>
          <w:tcPr>
            <w:tcW w:type="pct" w:w="66%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Phase-by-phase task breakdown, Definition of Done, and production milestones.</w:t>
            </w:r>
          </w:p>
        </w:tc>
      </w:tr>
      <w:tr>
        <w:tc>
          <w:tcPr>
            <w:tcW w:type="pct" w:w="34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Role Division</w:t>
            </w:r>
          </w:p>
        </w:tc>
        <w:tc>
          <w:tcPr>
            <w:tcW w:type="pct" w:w="66%"/>
            <w:shd w:fill="F7F8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Full responsibilities, handoffs, ramp-up plans, and shared practices for the 3-person team.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6" w:sz="4" w:space="4"/>
      </w:pBdr>
      <w:tabs>
        <w:tab w:val="center" w:pos="4513"/>
        <w:tab w:val="right" w:pos="9026"/>
      </w:tabs>
    </w:pPr>
    <w:r>
      <w:rPr>
        <w:rFonts w:ascii="Calibri" w:cs="Calibri" w:eastAsia="Calibri" w:hAnsi="Calibri"/>
        <w:color w:val="5B6B7C"/>
        <w:sz w:val="16"/>
        <w:szCs w:val="16"/>
      </w:rPr>
      <w:t xml:space="preserve">v1.0 — July 2026</w:t>
    </w:r>
    <w:r>
      <w:rPr>
        <w:rFonts w:ascii="Calibri" w:cs="Calibri" w:eastAsia="Calibri" w:hAnsi="Calibri"/>
        <w:color w:val="5B6B7C"/>
        <w:sz w:val="16"/>
        <w:szCs w:val="16"/>
      </w:rPr>
      <w:t xml:space="preserve">	Page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C"/>
        <w:sz w:val="16"/>
        <w:szCs w:val="16"/>
      </w:rPr>
      <w:t xml:space="preserve"> of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DEE6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DharaAI</w:t>
    </w:r>
    <w:r>
      <w:rPr>
        <w:rFonts w:ascii="Calibri" w:cs="Calibri" w:eastAsia="Calibri" w:hAnsi="Calibri"/>
        <w:i/>
        <w:iCs/>
        <w:color w:val="5B6B7C"/>
        <w:sz w:val="16"/>
        <w:szCs w:val="16"/>
      </w:rPr>
      <w:t xml:space="preserve">  ·  Confidential Draft</w:t>
    </w:r>
    <w:r>
      <w:rPr>
        <w:rFonts w:ascii="Calibri" w:cs="Calibri" w:eastAsia="Calibri" w:hAnsi="Calibri"/>
        <w:color w:val="5B6B7C"/>
        <w:sz w:val="16"/>
        <w:szCs w:val="16"/>
      </w:rPr>
      <w:t xml:space="preserve">	Master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8C6A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b7882ba623e360b4551997a0d05609e79263f9.png"/><Relationship Id="rId10" Type="http://schemas.openxmlformats.org/officeDocument/2006/relationships/image" Target="media/1b1f2c7b3eb1ba7a751295ba0d5189f2c47f13da.png"/><Relationship Id="rId11" Type="http://schemas.openxmlformats.org/officeDocument/2006/relationships/image" Target="media/54ac55d7ecd56b5ea763d50d00b4809c07cbcf05.png"/><Relationship Id="rId12" Type="http://schemas.openxmlformats.org/officeDocument/2006/relationships/image" Target="media/5e72f39248ddb2634052dd8b7f777dc4c44b4b64.png"/><Relationship Id="rId13" Type="http://schemas.openxmlformats.org/officeDocument/2006/relationships/image" Target="media/dab8855c37e932856bd73282e90d1dfafcf85e9a.png"/><Relationship Id="rId14" Type="http://schemas.openxmlformats.org/officeDocument/2006/relationships/image" Target="media/c067274e0aaa09d8df1d6c281ff3e1307b5baaf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Document</dc:title>
  <dc:creator>DharaAI Project</dc:creator>
  <cp:lastModifiedBy>Un-named</cp:lastModifiedBy>
  <cp:revision>1</cp:revision>
  <dcterms:created xsi:type="dcterms:W3CDTF">2026-07-26T17:56:32.733Z</dcterms:created>
  <dcterms:modified xsi:type="dcterms:W3CDTF">2026-07-26T17:56:32.733Z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