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FC12E" w14:textId="77777777" w:rsidR="00A32436" w:rsidRDefault="00A32436">
      <w:pPr>
        <w:spacing w:after="1400"/>
      </w:pPr>
    </w:p>
    <w:p w14:paraId="1B72F421" w14:textId="2E9B764E" w:rsidR="00A32436" w:rsidRDefault="00452060">
      <w:pPr>
        <w:spacing w:after="40"/>
        <w:jc w:val="center"/>
      </w:pPr>
      <w:r>
        <w:rPr>
          <w:rFonts w:ascii="Cambria" w:eastAsia="Cambria" w:hAnsi="Cambria" w:cs="Cambria"/>
          <w:b/>
          <w:bCs/>
          <w:color w:val="1B3A5C"/>
          <w:sz w:val="64"/>
          <w:szCs w:val="64"/>
        </w:rPr>
        <w:t>LAW</w:t>
      </w:r>
    </w:p>
    <w:p w14:paraId="240C578D" w14:textId="77777777" w:rsidR="00A32436" w:rsidRDefault="00000000">
      <w:pPr>
        <w:spacing w:after="500"/>
        <w:jc w:val="center"/>
      </w:pPr>
      <w:r>
        <w:rPr>
          <w:i/>
          <w:iCs/>
          <w:color w:val="8C6A1F"/>
          <w:sz w:val="24"/>
          <w:szCs w:val="24"/>
        </w:rPr>
        <w:t>An AI-Powered Indian Legal Intelligence Platform</w:t>
      </w:r>
    </w:p>
    <w:p w14:paraId="08879398" w14:textId="77777777" w:rsidR="00A32436" w:rsidRDefault="00000000">
      <w:pPr>
        <w:pBdr>
          <w:top w:val="single" w:sz="14" w:space="10" w:color="B8892B"/>
          <w:bottom w:val="single" w:sz="14" w:space="10" w:color="B8892B"/>
        </w:pBdr>
        <w:spacing w:before="200" w:after="200"/>
        <w:jc w:val="center"/>
      </w:pPr>
      <w:r>
        <w:rPr>
          <w:rFonts w:ascii="Cambria" w:eastAsia="Cambria" w:hAnsi="Cambria" w:cs="Cambria"/>
          <w:b/>
          <w:bCs/>
          <w:color w:val="122840"/>
          <w:sz w:val="40"/>
          <w:szCs w:val="40"/>
        </w:rPr>
        <w:t>MASTER DOCUMENT</w:t>
      </w:r>
    </w:p>
    <w:p w14:paraId="30EF890C" w14:textId="02DF1767" w:rsidR="00A32436" w:rsidRDefault="00000000" w:rsidP="009F1C12">
      <w:pPr>
        <w:spacing w:after="700"/>
        <w:jc w:val="center"/>
      </w:pPr>
      <w:r>
        <w:rPr>
          <w:color w:val="5B6B7C"/>
          <w:sz w:val="24"/>
          <w:szCs w:val="24"/>
        </w:rPr>
        <w:t>Architecture, technology stack, roadmap, and business framing — in one place</w:t>
      </w:r>
    </w:p>
    <w:tbl>
      <w:tblPr>
        <w:tblW w:w="3500" w:type="pct"/>
        <w:jc w:val="center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2" w:space="0" w:color="D7DEE6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74"/>
        <w:gridCol w:w="4620"/>
      </w:tblGrid>
      <w:tr w:rsidR="00A32436" w14:paraId="0EC7020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695338" w14:textId="77777777" w:rsidR="00A32436" w:rsidRDefault="00000000">
            <w:r>
              <w:rPr>
                <w:b/>
                <w:bCs/>
                <w:color w:val="5B6B7C"/>
                <w:sz w:val="19"/>
                <w:szCs w:val="19"/>
              </w:rPr>
              <w:t>Document</w:t>
            </w:r>
          </w:p>
        </w:tc>
        <w:tc>
          <w:tcPr>
            <w:tcW w:w="34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AA7E96" w14:textId="77777777" w:rsidR="00A32436" w:rsidRDefault="00000000">
            <w:r>
              <w:rPr>
                <w:sz w:val="19"/>
                <w:szCs w:val="19"/>
              </w:rPr>
              <w:t>5 of 5 — Master Document</w:t>
            </w:r>
          </w:p>
        </w:tc>
      </w:tr>
      <w:tr w:rsidR="00A32436" w14:paraId="301CA59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A6AA75" w14:textId="77777777" w:rsidR="00A32436" w:rsidRDefault="00000000">
            <w:r>
              <w:rPr>
                <w:b/>
                <w:bCs/>
                <w:color w:val="5B6B7C"/>
                <w:sz w:val="19"/>
                <w:szCs w:val="19"/>
              </w:rPr>
              <w:t>Version</w:t>
            </w:r>
          </w:p>
        </w:tc>
        <w:tc>
          <w:tcPr>
            <w:tcW w:w="34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E5F60A" w14:textId="77777777" w:rsidR="00A32436" w:rsidRDefault="00000000">
            <w:r>
              <w:rPr>
                <w:sz w:val="19"/>
                <w:szCs w:val="19"/>
              </w:rPr>
              <w:t>1.0</w:t>
            </w:r>
          </w:p>
        </w:tc>
      </w:tr>
      <w:tr w:rsidR="00A32436" w14:paraId="068F788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086D89" w14:textId="77777777" w:rsidR="00A32436" w:rsidRDefault="00000000">
            <w:r>
              <w:rPr>
                <w:b/>
                <w:bCs/>
                <w:color w:val="5B6B7C"/>
                <w:sz w:val="19"/>
                <w:szCs w:val="19"/>
              </w:rPr>
              <w:t>Date</w:t>
            </w:r>
          </w:p>
        </w:tc>
        <w:tc>
          <w:tcPr>
            <w:tcW w:w="34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5F1403" w14:textId="77777777" w:rsidR="00A32436" w:rsidRDefault="00000000">
            <w:r>
              <w:rPr>
                <w:sz w:val="19"/>
                <w:szCs w:val="19"/>
              </w:rPr>
              <w:t>26 July 2026</w:t>
            </w:r>
          </w:p>
        </w:tc>
      </w:tr>
      <w:tr w:rsidR="00A32436" w14:paraId="0930DE2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0EB64B" w14:textId="77777777" w:rsidR="00A32436" w:rsidRDefault="00000000">
            <w:r>
              <w:rPr>
                <w:b/>
                <w:bCs/>
                <w:color w:val="5B6B7C"/>
                <w:sz w:val="19"/>
                <w:szCs w:val="19"/>
              </w:rPr>
              <w:t>Status</w:t>
            </w:r>
          </w:p>
        </w:tc>
        <w:tc>
          <w:tcPr>
            <w:tcW w:w="34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743562" w14:textId="77777777" w:rsidR="00A32436" w:rsidRDefault="00000000">
            <w:r>
              <w:rPr>
                <w:sz w:val="19"/>
                <w:szCs w:val="19"/>
              </w:rPr>
              <w:t>Draft for team review</w:t>
            </w:r>
          </w:p>
        </w:tc>
      </w:tr>
      <w:tr w:rsidR="00A32436" w14:paraId="2CD2DD23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C720B6" w14:textId="77777777" w:rsidR="00A32436" w:rsidRDefault="00000000">
            <w:r>
              <w:rPr>
                <w:b/>
                <w:bCs/>
                <w:color w:val="5B6B7C"/>
                <w:sz w:val="19"/>
                <w:szCs w:val="19"/>
              </w:rPr>
              <w:t>Companion documents</w:t>
            </w:r>
          </w:p>
        </w:tc>
        <w:tc>
          <w:tcPr>
            <w:tcW w:w="34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3EB5D8" w14:textId="77777777" w:rsidR="00A32436" w:rsidRDefault="00000000">
            <w:r>
              <w:rPr>
                <w:sz w:val="19"/>
                <w:szCs w:val="19"/>
              </w:rPr>
              <w:t>SRS · SDD · Project Workflow · Role Division</w:t>
            </w:r>
          </w:p>
        </w:tc>
      </w:tr>
    </w:tbl>
    <w:p w14:paraId="307A4E00" w14:textId="77777777" w:rsidR="00A32436" w:rsidRDefault="00000000">
      <w:r>
        <w:br w:type="page"/>
      </w:r>
    </w:p>
    <w:p w14:paraId="5F0F1803" w14:textId="77777777" w:rsidR="00A32436" w:rsidRDefault="00000000">
      <w:pPr>
        <w:pStyle w:val="Heading1"/>
        <w:pBdr>
          <w:bottom w:val="single" w:sz="10" w:space="6" w:color="B8892B"/>
        </w:pBdr>
        <w:spacing w:before="480" w:after="220"/>
      </w:pPr>
      <w:bookmarkStart w:id="0" w:name="_Toc236332635"/>
      <w:r>
        <w:lastRenderedPageBreak/>
        <w:t>Table of Contents</w:t>
      </w:r>
      <w:bookmarkEnd w:id="0"/>
    </w:p>
    <w:sdt>
      <w:sdtPr>
        <w:alias w:val="Table of Contents"/>
        <w:id w:val="925853440"/>
      </w:sdtPr>
      <w:sdtContent>
        <w:p w14:paraId="611905E7" w14:textId="77777777" w:rsidR="00452060" w:rsidRDefault="00000000">
          <w:pPr>
            <w:pStyle w:val="TOC1"/>
            <w:tabs>
              <w:tab w:val="right" w:leader="dot" w:pos="969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6332635" w:history="1">
            <w:r w:rsidR="00452060" w:rsidRPr="006925D4">
              <w:rPr>
                <w:rStyle w:val="Hyperlink"/>
                <w:noProof/>
              </w:rPr>
              <w:t>Table of Contents</w:t>
            </w:r>
            <w:r w:rsidR="00452060">
              <w:rPr>
                <w:noProof/>
              </w:rPr>
              <w:tab/>
            </w:r>
            <w:r w:rsidR="00452060">
              <w:rPr>
                <w:noProof/>
              </w:rPr>
              <w:fldChar w:fldCharType="begin"/>
            </w:r>
            <w:r w:rsidR="00452060">
              <w:rPr>
                <w:noProof/>
              </w:rPr>
              <w:instrText xml:space="preserve"> PAGEREF _Toc236332635 \h </w:instrText>
            </w:r>
            <w:r w:rsidR="00452060">
              <w:rPr>
                <w:noProof/>
              </w:rPr>
            </w:r>
            <w:r w:rsidR="00452060">
              <w:rPr>
                <w:noProof/>
              </w:rPr>
              <w:fldChar w:fldCharType="separate"/>
            </w:r>
            <w:r w:rsidR="00452060">
              <w:rPr>
                <w:noProof/>
              </w:rPr>
              <w:t>1</w:t>
            </w:r>
            <w:r w:rsidR="00452060">
              <w:rPr>
                <w:noProof/>
              </w:rPr>
              <w:fldChar w:fldCharType="end"/>
            </w:r>
          </w:hyperlink>
        </w:p>
        <w:p w14:paraId="18044E74" w14:textId="77777777" w:rsidR="00452060" w:rsidRDefault="00452060">
          <w:pPr>
            <w:pStyle w:val="TOC1"/>
            <w:tabs>
              <w:tab w:val="right" w:leader="dot" w:pos="9696"/>
            </w:tabs>
            <w:rPr>
              <w:noProof/>
            </w:rPr>
          </w:pPr>
          <w:hyperlink w:anchor="_Toc236332636" w:history="1">
            <w:r w:rsidRPr="006925D4">
              <w:rPr>
                <w:rStyle w:val="Hyperlink"/>
                <w:noProof/>
              </w:rPr>
              <w:t>1. Executive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_Toc236332636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8428251" w14:textId="77777777" w:rsidR="00452060" w:rsidRDefault="00452060">
          <w:pPr>
            <w:pStyle w:val="TOC1"/>
            <w:tabs>
              <w:tab w:val="right" w:leader="dot" w:pos="9696"/>
            </w:tabs>
            <w:rPr>
              <w:noProof/>
            </w:rPr>
          </w:pPr>
          <w:hyperlink w:anchor="_Toc236332637" w:history="1">
            <w:r w:rsidRPr="006925D4">
              <w:rPr>
                <w:rStyle w:val="Hyperlink"/>
                <w:noProof/>
              </w:rPr>
              <w:t>2. Market &amp; Competitive Landscape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_Toc236332637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A8E56E3" w14:textId="77777777" w:rsidR="00452060" w:rsidRDefault="00452060">
          <w:pPr>
            <w:pStyle w:val="TOC2"/>
            <w:tabs>
              <w:tab w:val="right" w:leader="dot" w:pos="9696"/>
            </w:tabs>
            <w:rPr>
              <w:noProof/>
            </w:rPr>
          </w:pPr>
          <w:hyperlink w:anchor="_Toc236332638" w:history="1">
            <w:r w:rsidRPr="006925D4">
              <w:rPr>
                <w:rStyle w:val="Hyperlink"/>
                <w:noProof/>
              </w:rPr>
              <w:t>2.1 Editorial / Static Legal Databases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_Toc236332638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1A806E0" w14:textId="77777777" w:rsidR="00452060" w:rsidRDefault="00452060">
          <w:pPr>
            <w:pStyle w:val="TOC2"/>
            <w:tabs>
              <w:tab w:val="right" w:leader="dot" w:pos="9696"/>
            </w:tabs>
            <w:rPr>
              <w:noProof/>
            </w:rPr>
          </w:pPr>
          <w:hyperlink w:anchor="_Toc236332639" w:history="1">
            <w:r w:rsidRPr="006925D4">
              <w:rPr>
                <w:rStyle w:val="Hyperlink"/>
                <w:noProof/>
              </w:rPr>
              <w:t>2.2 Citizen-Facing Legal AI Chatbots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_Toc236332639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61C92FF" w14:textId="77777777" w:rsidR="00452060" w:rsidRDefault="00452060">
          <w:pPr>
            <w:pStyle w:val="TOC2"/>
            <w:tabs>
              <w:tab w:val="right" w:leader="dot" w:pos="9696"/>
            </w:tabs>
            <w:rPr>
              <w:noProof/>
            </w:rPr>
          </w:pPr>
          <w:hyperlink w:anchor="_Toc236332640" w:history="1">
            <w:r w:rsidRPr="006925D4">
              <w:rPr>
                <w:rStyle w:val="Hyperlink"/>
                <w:noProof/>
              </w:rPr>
              <w:t>2.3 Global Legal-AI Comparables (Architecture Reference, Not Direct Competitors)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_Toc236332640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1400F62" w14:textId="77777777" w:rsidR="00452060" w:rsidRDefault="00452060">
          <w:pPr>
            <w:pStyle w:val="TOC2"/>
            <w:tabs>
              <w:tab w:val="right" w:leader="dot" w:pos="9696"/>
            </w:tabs>
            <w:rPr>
              <w:noProof/>
            </w:rPr>
          </w:pPr>
          <w:hyperlink w:anchor="_Toc236332641" w:history="1">
            <w:r w:rsidRPr="006925D4">
              <w:rPr>
                <w:rStyle w:val="Hyperlink"/>
                <w:noProof/>
              </w:rPr>
              <w:t>2.4 Competitive Positioning Map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_Toc236332641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19B1F21" w14:textId="77777777" w:rsidR="00452060" w:rsidRDefault="00452060">
          <w:pPr>
            <w:pStyle w:val="TOC1"/>
            <w:tabs>
              <w:tab w:val="right" w:leader="dot" w:pos="9696"/>
            </w:tabs>
            <w:rPr>
              <w:noProof/>
            </w:rPr>
          </w:pPr>
          <w:hyperlink w:anchor="_Toc236332642" w:history="1">
            <w:r w:rsidRPr="006925D4">
              <w:rPr>
                <w:rStyle w:val="Hyperlink"/>
                <w:noProof/>
              </w:rPr>
              <w:t>3. Product Overview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_Toc236332642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70630D8" w14:textId="77777777" w:rsidR="00452060" w:rsidRDefault="00452060">
          <w:pPr>
            <w:pStyle w:val="TOC2"/>
            <w:tabs>
              <w:tab w:val="right" w:leader="dot" w:pos="9696"/>
            </w:tabs>
            <w:rPr>
              <w:noProof/>
            </w:rPr>
          </w:pPr>
          <w:hyperlink w:anchor="_Toc236332643" w:history="1">
            <w:r w:rsidRPr="006925D4">
              <w:rPr>
                <w:rStyle w:val="Hyperlink"/>
                <w:noProof/>
              </w:rPr>
              <w:t>3.1 Vision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_Toc236332643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38CB20C" w14:textId="77777777" w:rsidR="00452060" w:rsidRDefault="00452060">
          <w:pPr>
            <w:pStyle w:val="TOC2"/>
            <w:tabs>
              <w:tab w:val="right" w:leader="dot" w:pos="9696"/>
            </w:tabs>
            <w:rPr>
              <w:noProof/>
            </w:rPr>
          </w:pPr>
          <w:hyperlink w:anchor="_Toc236332644" w:history="1">
            <w:r w:rsidRPr="006925D4">
              <w:rPr>
                <w:rStyle w:val="Hyperlink"/>
                <w:noProof/>
              </w:rPr>
              <w:t>3.2 Personas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_Toc236332644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7975F8E" w14:textId="77777777" w:rsidR="00452060" w:rsidRDefault="00452060">
          <w:pPr>
            <w:pStyle w:val="TOC2"/>
            <w:tabs>
              <w:tab w:val="right" w:leader="dot" w:pos="9696"/>
            </w:tabs>
            <w:rPr>
              <w:noProof/>
            </w:rPr>
          </w:pPr>
          <w:hyperlink w:anchor="_Toc236332645" w:history="1">
            <w:r w:rsidRPr="006925D4">
              <w:rPr>
                <w:rStyle w:val="Hyperlink"/>
                <w:noProof/>
              </w:rPr>
              <w:t>3.3 What Makes This Defensible, Not Just Different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_Toc236332645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539CBB1" w14:textId="77777777" w:rsidR="00452060" w:rsidRDefault="00452060">
          <w:pPr>
            <w:pStyle w:val="TOC1"/>
            <w:tabs>
              <w:tab w:val="right" w:leader="dot" w:pos="9696"/>
            </w:tabs>
            <w:rPr>
              <w:noProof/>
            </w:rPr>
          </w:pPr>
          <w:hyperlink w:anchor="_Toc236332646" w:history="1">
            <w:r w:rsidRPr="006925D4">
              <w:rPr>
                <w:rStyle w:val="Hyperlink"/>
                <w:noProof/>
              </w:rPr>
              <w:t>4. System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_Toc236332646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547F795" w14:textId="77777777" w:rsidR="00452060" w:rsidRDefault="00452060">
          <w:pPr>
            <w:pStyle w:val="TOC1"/>
            <w:tabs>
              <w:tab w:val="right" w:leader="dot" w:pos="9696"/>
            </w:tabs>
            <w:rPr>
              <w:noProof/>
            </w:rPr>
          </w:pPr>
          <w:hyperlink w:anchor="_Toc236332647" w:history="1">
            <w:r w:rsidRPr="006925D4">
              <w:rPr>
                <w:rStyle w:val="Hyperlink"/>
                <w:noProof/>
              </w:rPr>
              <w:t>5. Technology Stack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_Toc236332647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4F1BE0A" w14:textId="77777777" w:rsidR="00452060" w:rsidRDefault="00452060">
          <w:pPr>
            <w:pStyle w:val="TOC2"/>
            <w:tabs>
              <w:tab w:val="right" w:leader="dot" w:pos="9696"/>
            </w:tabs>
            <w:rPr>
              <w:noProof/>
            </w:rPr>
          </w:pPr>
          <w:hyperlink w:anchor="_Toc236332648" w:history="1">
            <w:r w:rsidRPr="006925D4">
              <w:rPr>
                <w:rStyle w:val="Hyperlink"/>
                <w:noProof/>
              </w:rPr>
              <w:t>5.1 Layer-by-Layer Rationale, With Comparables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_Toc236332648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9142DDE" w14:textId="77777777" w:rsidR="00452060" w:rsidRDefault="00452060">
          <w:pPr>
            <w:pStyle w:val="TOC2"/>
            <w:tabs>
              <w:tab w:val="right" w:leader="dot" w:pos="9696"/>
            </w:tabs>
            <w:rPr>
              <w:noProof/>
            </w:rPr>
          </w:pPr>
          <w:hyperlink w:anchor="_Toc236332649" w:history="1">
            <w:r w:rsidRPr="006925D4">
              <w:rPr>
                <w:rStyle w:val="Hyperlink"/>
                <w:noProof/>
              </w:rPr>
              <w:t>5.2 What's Deliberately Not in the Stack (Yet)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_Toc236332649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6308C3F" w14:textId="77777777" w:rsidR="00452060" w:rsidRDefault="00452060">
          <w:pPr>
            <w:pStyle w:val="TOC1"/>
            <w:tabs>
              <w:tab w:val="right" w:leader="dot" w:pos="9696"/>
            </w:tabs>
            <w:rPr>
              <w:noProof/>
            </w:rPr>
          </w:pPr>
          <w:hyperlink w:anchor="_Toc236332650" w:history="1">
            <w:r w:rsidRPr="006925D4">
              <w:rPr>
                <w:rStyle w:val="Hyperlink"/>
                <w:noProof/>
              </w:rPr>
              <w:t>6. Roadmap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_Toc236332650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F810443" w14:textId="77777777" w:rsidR="00452060" w:rsidRDefault="00452060">
          <w:pPr>
            <w:pStyle w:val="TOC1"/>
            <w:tabs>
              <w:tab w:val="right" w:leader="dot" w:pos="9696"/>
            </w:tabs>
            <w:rPr>
              <w:noProof/>
            </w:rPr>
          </w:pPr>
          <w:hyperlink w:anchor="_Toc236332651" w:history="1">
            <w:r w:rsidRPr="006925D4">
              <w:rPr>
                <w:rStyle w:val="Hyperlink"/>
                <w:noProof/>
              </w:rPr>
              <w:t>7. Team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_Toc236332651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38D3ABC" w14:textId="77777777" w:rsidR="00452060" w:rsidRDefault="00452060">
          <w:pPr>
            <w:pStyle w:val="TOC1"/>
            <w:tabs>
              <w:tab w:val="right" w:leader="dot" w:pos="9696"/>
            </w:tabs>
            <w:rPr>
              <w:noProof/>
            </w:rPr>
          </w:pPr>
          <w:hyperlink w:anchor="_Toc236332652" w:history="1">
            <w:r w:rsidRPr="006925D4">
              <w:rPr>
                <w:rStyle w:val="Hyperlink"/>
                <w:noProof/>
              </w:rPr>
              <w:t>8. Business Model &amp; Monetization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_Toc236332652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C130135" w14:textId="77777777" w:rsidR="00452060" w:rsidRDefault="00452060">
          <w:pPr>
            <w:pStyle w:val="TOC1"/>
            <w:tabs>
              <w:tab w:val="right" w:leader="dot" w:pos="9696"/>
            </w:tabs>
            <w:rPr>
              <w:noProof/>
            </w:rPr>
          </w:pPr>
          <w:hyperlink w:anchor="_Toc236332653" w:history="1">
            <w:r w:rsidRPr="006925D4">
              <w:rPr>
                <w:rStyle w:val="Hyperlink"/>
                <w:noProof/>
              </w:rPr>
              <w:t>9. Risk Register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_Toc236332653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0222FF5" w14:textId="77777777" w:rsidR="00452060" w:rsidRDefault="00452060">
          <w:pPr>
            <w:pStyle w:val="TOC1"/>
            <w:tabs>
              <w:tab w:val="right" w:leader="dot" w:pos="9696"/>
            </w:tabs>
            <w:rPr>
              <w:noProof/>
            </w:rPr>
          </w:pPr>
          <w:hyperlink w:anchor="_Toc236332654" w:history="1">
            <w:r w:rsidRPr="006925D4">
              <w:rPr>
                <w:rStyle w:val="Hyperlink"/>
                <w:noProof/>
              </w:rPr>
              <w:t>10. Success Metrics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_Toc236332654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A96C4D0" w14:textId="77777777" w:rsidR="00452060" w:rsidRDefault="00452060">
          <w:pPr>
            <w:pStyle w:val="TOC2"/>
            <w:tabs>
              <w:tab w:val="right" w:leader="dot" w:pos="9696"/>
            </w:tabs>
            <w:rPr>
              <w:noProof/>
            </w:rPr>
          </w:pPr>
          <w:hyperlink w:anchor="_Toc236332655" w:history="1">
            <w:r w:rsidRPr="006925D4">
              <w:rPr>
                <w:rStyle w:val="Hyperlink"/>
                <w:noProof/>
              </w:rPr>
              <w:t>10.1 Product Quality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_Toc236332655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5092E3D" w14:textId="77777777" w:rsidR="00452060" w:rsidRDefault="00452060">
          <w:pPr>
            <w:pStyle w:val="TOC2"/>
            <w:tabs>
              <w:tab w:val="right" w:leader="dot" w:pos="9696"/>
            </w:tabs>
            <w:rPr>
              <w:noProof/>
            </w:rPr>
          </w:pPr>
          <w:hyperlink w:anchor="_Toc236332656" w:history="1">
            <w:r w:rsidRPr="006925D4">
              <w:rPr>
                <w:rStyle w:val="Hyperlink"/>
                <w:noProof/>
              </w:rPr>
              <w:t>10.2 Usage &amp; Business (Directional, Post-Launch)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_Toc236332656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C3FA95B" w14:textId="77777777" w:rsidR="00452060" w:rsidRDefault="00452060">
          <w:pPr>
            <w:pStyle w:val="TOC2"/>
            <w:tabs>
              <w:tab w:val="right" w:leader="dot" w:pos="9696"/>
            </w:tabs>
            <w:rPr>
              <w:noProof/>
            </w:rPr>
          </w:pPr>
          <w:hyperlink w:anchor="_Toc236332657" w:history="1">
            <w:r w:rsidRPr="006925D4">
              <w:rPr>
                <w:rStyle w:val="Hyperlink"/>
                <w:noProof/>
              </w:rPr>
              <w:t>10.3 Technical Health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_Toc236332657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1510809" w14:textId="77777777" w:rsidR="00452060" w:rsidRDefault="00452060">
          <w:pPr>
            <w:pStyle w:val="TOC1"/>
            <w:tabs>
              <w:tab w:val="right" w:leader="dot" w:pos="9696"/>
            </w:tabs>
            <w:rPr>
              <w:noProof/>
            </w:rPr>
          </w:pPr>
          <w:hyperlink w:anchor="_Toc236332658" w:history="1">
            <w:r w:rsidRPr="006925D4">
              <w:rPr>
                <w:rStyle w:val="Hyperlink"/>
                <w:noProof/>
              </w:rPr>
              <w:t>Appendix — Document Set Overview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_Toc236332658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CAE2465" w14:textId="77777777" w:rsidR="00A32436" w:rsidRDefault="00000000">
          <w:r>
            <w:fldChar w:fldCharType="end"/>
          </w:r>
        </w:p>
      </w:sdtContent>
    </w:sdt>
    <w:p w14:paraId="3FB742CF" w14:textId="77777777" w:rsidR="00A32436" w:rsidRDefault="00000000">
      <w:pPr>
        <w:spacing w:before="160"/>
      </w:pPr>
      <w:r>
        <w:rPr>
          <w:i/>
          <w:iCs/>
          <w:color w:val="5B6B7C"/>
          <w:sz w:val="16"/>
          <w:szCs w:val="16"/>
        </w:rPr>
        <w:t>(If this outline looks empty, right-click it and choose “Update Field” — Word/LibreOffice recalculate it from the headings automatically.)</w:t>
      </w:r>
    </w:p>
    <w:p w14:paraId="748ACC73" w14:textId="77777777" w:rsidR="00A32436" w:rsidRDefault="00000000">
      <w:r>
        <w:br w:type="page"/>
      </w:r>
    </w:p>
    <w:p w14:paraId="0BD23C09" w14:textId="77777777" w:rsidR="00A32436" w:rsidRDefault="00000000">
      <w:pPr>
        <w:pStyle w:val="Heading1"/>
        <w:pBdr>
          <w:bottom w:val="single" w:sz="10" w:space="6" w:color="B8892B"/>
        </w:pBdr>
        <w:spacing w:before="480" w:after="220"/>
      </w:pPr>
      <w:bookmarkStart w:id="1" w:name="_Toc236332636"/>
      <w:r>
        <w:lastRenderedPageBreak/>
        <w:t>1. Executive Summary</w:t>
      </w:r>
      <w:bookmarkEnd w:id="1"/>
    </w:p>
    <w:p w14:paraId="1B55DA3F" w14:textId="7ACD8FE3" w:rsidR="00A32436" w:rsidRDefault="00452060">
      <w:pPr>
        <w:spacing w:after="160" w:line="276" w:lineRule="auto"/>
      </w:pPr>
      <w:r>
        <w:t>LAW</w:t>
      </w:r>
      <w:r w:rsidR="00000000">
        <w:t xml:space="preserve"> is an AI-powered legal intelligence platform for Indian law: a hybrid-retrieval, citation-grounded question-answering system that starts with the Constitution and the new BNS/BNSS/BSA criminal codes and is architected to extend — as a data-ingestion task, not a rebuild — through central Acts, court judgments, state law, and regulatory material. It answers a legal question the way a careful researcher would: find the exact provision, quote it precisely, cite it, and say clearly when it doesn't know.</w:t>
      </w:r>
    </w:p>
    <w:p w14:paraId="47A26679" w14:textId="515014F5" w:rsidR="00A32436" w:rsidRDefault="00000000">
      <w:pPr>
        <w:spacing w:after="160" w:line="276" w:lineRule="auto"/>
      </w:pPr>
      <w:r>
        <w:t xml:space="preserve">The core bet is architectural rigor applied to an underserved segment. India's legal-tech market already has strong editorial databases (Indian Kanoon, SCC Online, </w:t>
      </w:r>
      <w:proofErr w:type="spellStart"/>
      <w:r>
        <w:t>Manupatra</w:t>
      </w:r>
      <w:proofErr w:type="spellEnd"/>
      <w:r>
        <w:t xml:space="preserve">) and a growing wave of citizen-facing legal chatbots — but, from available public information, none of them publish retrieval-precision metrics, treat the IPC→BNS legal transition as a first-class feature, or offer a genuinely extensible architecture. </w:t>
      </w:r>
      <w:r w:rsidR="00452060">
        <w:t>LAW</w:t>
      </w:r>
      <w:r>
        <w:t xml:space="preserve">'s MVP targets law students and judiciary/bar-exam aspirants specifically — a segment that is both differentiated from the crowded citizen-chatbot space and objectively benchmarkable against </w:t>
      </w:r>
      <w:proofErr w:type="spellStart"/>
      <w:r>
        <w:t>BhashaBench</w:t>
      </w:r>
      <w:proofErr w:type="spellEnd"/>
      <w:r>
        <w:t>-Legal, a real Indian legal-exam question set.</w:t>
      </w:r>
    </w:p>
    <w:tbl>
      <w:tblPr>
        <w:tblW w:w="5000" w:type="pct"/>
        <w:tblBorders>
          <w:top w:val="single" w:sz="4" w:space="0" w:color="D7DEE6"/>
          <w:left w:val="single" w:sz="4" w:space="0" w:color="D7DEE6"/>
          <w:bottom w:val="single" w:sz="4" w:space="0" w:color="D7DEE6"/>
          <w:right w:val="single" w:sz="4" w:space="0" w:color="D7DEE6"/>
          <w:insideH w:val="single" w:sz="4" w:space="0" w:color="D7DEE6"/>
          <w:insideV w:val="single" w:sz="4" w:space="0" w:color="D7DEE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9"/>
        <w:gridCol w:w="7757"/>
      </w:tblGrid>
      <w:tr w:rsidR="00A32436" w14:paraId="5F8FEF0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4203A7" w14:textId="77777777" w:rsidR="00A32436" w:rsidRDefault="00000000">
            <w:r>
              <w:rPr>
                <w:b/>
                <w:bCs/>
                <w:color w:val="FFFFFF"/>
                <w:sz w:val="19"/>
                <w:szCs w:val="19"/>
              </w:rPr>
              <w:t>Aspect</w:t>
            </w:r>
          </w:p>
        </w:tc>
        <w:tc>
          <w:tcPr>
            <w:tcW w:w="40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92F363" w14:textId="77777777" w:rsidR="00A32436" w:rsidRDefault="00000000">
            <w:r>
              <w:rPr>
                <w:b/>
                <w:bCs/>
                <w:color w:val="FFFFFF"/>
                <w:sz w:val="19"/>
                <w:szCs w:val="19"/>
              </w:rPr>
              <w:t>Summary</w:t>
            </w:r>
          </w:p>
        </w:tc>
      </w:tr>
      <w:tr w:rsidR="00A32436" w14:paraId="6997688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D11BF5" w14:textId="77777777" w:rsidR="00A32436" w:rsidRDefault="00000000">
            <w:r>
              <w:rPr>
                <w:sz w:val="19"/>
                <w:szCs w:val="19"/>
              </w:rPr>
              <w:t>Problem</w:t>
            </w:r>
          </w:p>
        </w:tc>
        <w:tc>
          <w:tcPr>
            <w:tcW w:w="40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2A65FE" w14:textId="77777777" w:rsidR="00A32436" w:rsidRDefault="00000000">
            <w:r>
              <w:rPr>
                <w:sz w:val="19"/>
                <w:szCs w:val="19"/>
              </w:rPr>
              <w:t>Legal information in India is fragmented across editorial databases built for keyword search, not natural-language questions — and the citizen-facing AI alternatives that do exist don't publish evidence of retrieval quality or handle the 2024 criminal-law code transition explicitly.</w:t>
            </w:r>
          </w:p>
        </w:tc>
      </w:tr>
      <w:tr w:rsidR="00A32436" w14:paraId="5A017273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923080" w14:textId="77777777" w:rsidR="00A32436" w:rsidRDefault="00000000">
            <w:r>
              <w:rPr>
                <w:sz w:val="19"/>
                <w:szCs w:val="19"/>
              </w:rPr>
              <w:t>Solution</w:t>
            </w:r>
          </w:p>
        </w:tc>
        <w:tc>
          <w:tcPr>
            <w:tcW w:w="40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5B8B72" w14:textId="77777777" w:rsidR="00A32436" w:rsidRDefault="00000000">
            <w:r>
              <w:rPr>
                <w:sz w:val="19"/>
                <w:szCs w:val="19"/>
              </w:rPr>
              <w:t>A hybrid-retrieval (keyword + semantic), citation-grounded, faithfulness-checked answer engine, built on a generic legal-document data model that scales across law types without architectural rework.</w:t>
            </w:r>
          </w:p>
        </w:tc>
      </w:tr>
      <w:tr w:rsidR="00A32436" w14:paraId="5A9BB639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907E0C" w14:textId="77777777" w:rsidR="00A32436" w:rsidRDefault="00000000">
            <w:r>
              <w:rPr>
                <w:sz w:val="19"/>
                <w:szCs w:val="19"/>
              </w:rPr>
              <w:t>Initial wedge</w:t>
            </w:r>
          </w:p>
        </w:tc>
        <w:tc>
          <w:tcPr>
            <w:tcW w:w="40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4044C9" w14:textId="77777777" w:rsidR="00A32436" w:rsidRDefault="00000000">
            <w:r>
              <w:rPr>
                <w:sz w:val="19"/>
                <w:szCs w:val="19"/>
              </w:rPr>
              <w:t>Law students &amp; judiciary/bar-exam aspirants — benchmarkable, underserved by rigorous tooling, naturally extends to general citizens without extra engineering.</w:t>
            </w:r>
          </w:p>
        </w:tc>
      </w:tr>
      <w:tr w:rsidR="00A32436" w14:paraId="1FDAA53F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AA956E" w14:textId="77777777" w:rsidR="00A32436" w:rsidRDefault="00000000">
            <w:r>
              <w:rPr>
                <w:sz w:val="19"/>
                <w:szCs w:val="19"/>
              </w:rPr>
              <w:t>Differentiator</w:t>
            </w:r>
          </w:p>
        </w:tc>
        <w:tc>
          <w:tcPr>
            <w:tcW w:w="40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3365F2" w14:textId="77777777" w:rsidR="00A32436" w:rsidRDefault="00000000">
            <w:r>
              <w:rPr>
                <w:sz w:val="19"/>
                <w:szCs w:val="19"/>
              </w:rPr>
              <w:t>Measured retrieval quality (published recall/faithfulness numbers), the IPC→BNS repealed-mapping feature, and a platform architecture (developer API path from Phase 6) rather than a single-purpose chatbot.</w:t>
            </w:r>
          </w:p>
        </w:tc>
      </w:tr>
      <w:tr w:rsidR="00A32436" w14:paraId="38E77D0A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021B6F" w14:textId="77777777" w:rsidR="00A32436" w:rsidRDefault="00000000">
            <w:r>
              <w:rPr>
                <w:sz w:val="19"/>
                <w:szCs w:val="19"/>
              </w:rPr>
              <w:t>Team</w:t>
            </w:r>
          </w:p>
        </w:tc>
        <w:tc>
          <w:tcPr>
            <w:tcW w:w="40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E337FB" w14:textId="77777777" w:rsidR="00A32436" w:rsidRDefault="00000000">
            <w:r>
              <w:rPr>
                <w:sz w:val="19"/>
                <w:szCs w:val="19"/>
              </w:rPr>
              <w:t>3 people — AI/ML/</w:t>
            </w:r>
            <w:proofErr w:type="spellStart"/>
            <w:r>
              <w:rPr>
                <w:sz w:val="19"/>
                <w:szCs w:val="19"/>
              </w:rPr>
              <w:t>MLOps</w:t>
            </w:r>
            <w:proofErr w:type="spellEnd"/>
            <w:r>
              <w:rPr>
                <w:sz w:val="19"/>
                <w:szCs w:val="19"/>
              </w:rPr>
              <w:t>, Frontend, Backend/Data (full split in the Role Division document).</w:t>
            </w:r>
          </w:p>
        </w:tc>
      </w:tr>
      <w:tr w:rsidR="00A32436" w14:paraId="6B8B3386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B4AED8" w14:textId="77777777" w:rsidR="00A32436" w:rsidRDefault="00000000">
            <w:r>
              <w:rPr>
                <w:sz w:val="19"/>
                <w:szCs w:val="19"/>
              </w:rPr>
              <w:t>Stack</w:t>
            </w:r>
          </w:p>
        </w:tc>
        <w:tc>
          <w:tcPr>
            <w:tcW w:w="40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A44F83" w14:textId="77777777" w:rsidR="00A32436" w:rsidRDefault="00000000">
            <w:r>
              <w:rPr>
                <w:sz w:val="19"/>
                <w:szCs w:val="19"/>
              </w:rPr>
              <w:t xml:space="preserve">Next.js · </w:t>
            </w:r>
            <w:proofErr w:type="spellStart"/>
            <w:r>
              <w:rPr>
                <w:sz w:val="19"/>
                <w:szCs w:val="19"/>
              </w:rPr>
              <w:t>FastAPI</w:t>
            </w:r>
            <w:proofErr w:type="spellEnd"/>
            <w:r>
              <w:rPr>
                <w:sz w:val="19"/>
                <w:szCs w:val="19"/>
              </w:rPr>
              <w:t xml:space="preserve"> · PostgreSQL · </w:t>
            </w:r>
            <w:proofErr w:type="spellStart"/>
            <w:r>
              <w:rPr>
                <w:sz w:val="19"/>
                <w:szCs w:val="19"/>
              </w:rPr>
              <w:t>Qdrant</w:t>
            </w:r>
            <w:proofErr w:type="spellEnd"/>
            <w:r>
              <w:rPr>
                <w:sz w:val="19"/>
                <w:szCs w:val="19"/>
              </w:rPr>
              <w:t xml:space="preserve"> · BGE-M3 · Vertex AI (Gemini) · Google Cloud Platform.</w:t>
            </w:r>
          </w:p>
        </w:tc>
      </w:tr>
    </w:tbl>
    <w:p w14:paraId="56447AD6" w14:textId="77777777" w:rsidR="00A32436" w:rsidRDefault="00000000">
      <w:r>
        <w:br w:type="page"/>
      </w:r>
    </w:p>
    <w:p w14:paraId="1C2957F5" w14:textId="77777777" w:rsidR="00A32436" w:rsidRDefault="00000000">
      <w:pPr>
        <w:pStyle w:val="Heading1"/>
        <w:pBdr>
          <w:bottom w:val="single" w:sz="10" w:space="6" w:color="B8892B"/>
        </w:pBdr>
        <w:spacing w:before="480" w:after="220"/>
      </w:pPr>
      <w:bookmarkStart w:id="2" w:name="_Toc236332637"/>
      <w:r>
        <w:lastRenderedPageBreak/>
        <w:t>2. Market &amp; Competitive Landscape</w:t>
      </w:r>
      <w:bookmarkEnd w:id="2"/>
    </w:p>
    <w:p w14:paraId="79202146" w14:textId="3CE6F4F9" w:rsidR="00A32436" w:rsidRDefault="00000000">
      <w:pPr>
        <w:spacing w:after="160" w:line="276" w:lineRule="auto"/>
      </w:pPr>
      <w:r>
        <w:t xml:space="preserve">Three distinct tiers of existing product shape where </w:t>
      </w:r>
      <w:r w:rsidR="00452060">
        <w:t>LAW</w:t>
      </w:r>
      <w:r>
        <w:t xml:space="preserve"> needs to differentiate.</w:t>
      </w:r>
    </w:p>
    <w:p w14:paraId="60A98160" w14:textId="77777777" w:rsidR="00A32436" w:rsidRDefault="00000000">
      <w:pPr>
        <w:pStyle w:val="Heading2"/>
        <w:spacing w:before="360" w:after="160"/>
      </w:pPr>
      <w:bookmarkStart w:id="3" w:name="_Toc236332638"/>
      <w:r>
        <w:t>2.1 Editorial / Static Legal Databases</w:t>
      </w:r>
      <w:bookmarkEnd w:id="3"/>
    </w:p>
    <w:tbl>
      <w:tblPr>
        <w:tblW w:w="5000" w:type="pct"/>
        <w:tblBorders>
          <w:top w:val="single" w:sz="4" w:space="0" w:color="D7DEE6"/>
          <w:left w:val="single" w:sz="4" w:space="0" w:color="D7DEE6"/>
          <w:bottom w:val="single" w:sz="4" w:space="0" w:color="D7DEE6"/>
          <w:right w:val="single" w:sz="4" w:space="0" w:color="D7DEE6"/>
          <w:insideH w:val="single" w:sz="4" w:space="0" w:color="D7DEE6"/>
          <w:insideV w:val="single" w:sz="4" w:space="0" w:color="D7DEE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33"/>
        <w:gridCol w:w="7563"/>
      </w:tblGrid>
      <w:tr w:rsidR="00A32436" w14:paraId="63EBCCE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D51EF5" w14:textId="77777777" w:rsidR="00A32436" w:rsidRDefault="00000000">
            <w:r>
              <w:rPr>
                <w:b/>
                <w:bCs/>
                <w:color w:val="FFFFFF"/>
                <w:sz w:val="19"/>
                <w:szCs w:val="19"/>
              </w:rPr>
              <w:t>Product</w:t>
            </w:r>
          </w:p>
        </w:tc>
        <w:tc>
          <w:tcPr>
            <w:tcW w:w="39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118A19" w14:textId="77777777" w:rsidR="00A32436" w:rsidRDefault="00000000">
            <w:r>
              <w:rPr>
                <w:b/>
                <w:bCs/>
                <w:color w:val="FFFFFF"/>
                <w:sz w:val="19"/>
                <w:szCs w:val="19"/>
              </w:rPr>
              <w:t>Position</w:t>
            </w:r>
          </w:p>
        </w:tc>
      </w:tr>
      <w:tr w:rsidR="00A32436" w14:paraId="2BDF72E0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20A25E" w14:textId="77777777" w:rsidR="00A32436" w:rsidRDefault="00000000">
            <w:r>
              <w:rPr>
                <w:sz w:val="19"/>
                <w:szCs w:val="19"/>
              </w:rPr>
              <w:t>Indian Kanoon</w:t>
            </w:r>
          </w:p>
        </w:tc>
        <w:tc>
          <w:tcPr>
            <w:tcW w:w="39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01D1EE" w14:textId="77777777" w:rsidR="00A32436" w:rsidRDefault="00000000">
            <w:r>
              <w:rPr>
                <w:sz w:val="19"/>
                <w:szCs w:val="19"/>
              </w:rPr>
              <w:t>Free, comprehensive full-text search across courts and tribunals since 2008; recently added a paid “Prism AI” tier for AI-assisted search on top of its existing search engine.</w:t>
            </w:r>
          </w:p>
        </w:tc>
      </w:tr>
      <w:tr w:rsidR="00A32436" w14:paraId="05C82E5E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46C5EE" w14:textId="77777777" w:rsidR="00A32436" w:rsidRDefault="00000000">
            <w:r>
              <w:rPr>
                <w:sz w:val="19"/>
                <w:szCs w:val="19"/>
              </w:rPr>
              <w:t>SCC Online</w:t>
            </w:r>
          </w:p>
        </w:tc>
        <w:tc>
          <w:tcPr>
            <w:tcW w:w="39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240B09" w14:textId="77777777" w:rsidR="00A32436" w:rsidRDefault="00000000">
            <w:r>
              <w:rPr>
                <w:sz w:val="19"/>
                <w:szCs w:val="19"/>
              </w:rPr>
              <w:t>Editorial gold standard with strong headnotes; introduced neural-network-based case categorization by legal principle in its 2026 “Digest 3.0” update. Premium/subscription-priced, aimed at practicing lawyers.</w:t>
            </w:r>
          </w:p>
        </w:tc>
      </w:tr>
      <w:tr w:rsidR="00A32436" w14:paraId="52686C15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A7744F" w14:textId="77777777" w:rsidR="00A32436" w:rsidRDefault="00000000">
            <w:proofErr w:type="spellStart"/>
            <w:r>
              <w:rPr>
                <w:sz w:val="19"/>
                <w:szCs w:val="19"/>
              </w:rPr>
              <w:t>Manupatra</w:t>
            </w:r>
            <w:proofErr w:type="spellEnd"/>
          </w:p>
        </w:tc>
        <w:tc>
          <w:tcPr>
            <w:tcW w:w="39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25E254" w14:textId="77777777" w:rsidR="00A32436" w:rsidRDefault="00000000">
            <w:r>
              <w:rPr>
                <w:sz w:val="19"/>
                <w:szCs w:val="19"/>
              </w:rPr>
              <w:t>Strong citator features (flags overruled cases) and “decision heatmap” analytics showing how courts have ruled on a topic; broad state-enactment coverage.</w:t>
            </w:r>
          </w:p>
        </w:tc>
      </w:tr>
      <w:tr w:rsidR="00A32436" w14:paraId="36E17576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074AFB" w14:textId="77777777" w:rsidR="00A32436" w:rsidRDefault="00000000">
            <w:r>
              <w:rPr>
                <w:sz w:val="19"/>
                <w:szCs w:val="19"/>
              </w:rPr>
              <w:t>e-SCR (Supreme Court's own portal)</w:t>
            </w:r>
          </w:p>
        </w:tc>
        <w:tc>
          <w:tcPr>
            <w:tcW w:w="39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D4417F" w14:textId="77777777" w:rsidR="00A32436" w:rsidRDefault="00000000">
            <w:r>
              <w:rPr>
                <w:sz w:val="19"/>
                <w:szCs w:val="19"/>
              </w:rPr>
              <w:t>Free, official, digitized Supreme Court judgments back to 1950; reached what the Court has described as full maturity in 2026 — strong on authority and completeness, not built for natural-language Q&amp;A.</w:t>
            </w:r>
          </w:p>
        </w:tc>
      </w:tr>
    </w:tbl>
    <w:p w14:paraId="0263FEEC" w14:textId="77777777" w:rsidR="00A32436" w:rsidRDefault="00000000">
      <w:pPr>
        <w:pStyle w:val="Heading2"/>
        <w:spacing w:before="360" w:after="160"/>
      </w:pPr>
      <w:bookmarkStart w:id="4" w:name="_Toc236332639"/>
      <w:r>
        <w:t>2.2 Citizen-Facing Legal AI Chatbots</w:t>
      </w:r>
      <w:bookmarkEnd w:id="4"/>
    </w:p>
    <w:p w14:paraId="5137490C" w14:textId="77777777" w:rsidR="00A32436" w:rsidRDefault="00000000">
      <w:pPr>
        <w:spacing w:after="160" w:line="276" w:lineRule="auto"/>
      </w:pPr>
      <w:r>
        <w:t xml:space="preserve">This niche is more crowded than it might first appear: </w:t>
      </w:r>
      <w:proofErr w:type="spellStart"/>
      <w:r>
        <w:t>Nyaaya</w:t>
      </w:r>
      <w:proofErr w:type="spellEnd"/>
      <w:r>
        <w:t xml:space="preserve"> (operating since 2016), Nyaya Setu, </w:t>
      </w:r>
      <w:proofErr w:type="spellStart"/>
      <w:r>
        <w:t>NyayaSathi</w:t>
      </w:r>
      <w:proofErr w:type="spellEnd"/>
      <w:r>
        <w:t xml:space="preserve">, Nyaya Saathi, </w:t>
      </w:r>
      <w:proofErr w:type="spellStart"/>
      <w:r>
        <w:t>Nyaay</w:t>
      </w:r>
      <w:proofErr w:type="spellEnd"/>
      <w:r>
        <w:t xml:space="preserve"> AI, </w:t>
      </w:r>
      <w:proofErr w:type="spellStart"/>
      <w:r>
        <w:t>NyayaDarpanAI</w:t>
      </w:r>
      <w:proofErr w:type="spellEnd"/>
      <w:r>
        <w:t>, and BharatNyay.ai are all currently active citizen-facing Indian legal-AI products, several explicitly using “Nyaya”-prefixed names. At least one (Nyaya Saathi) explicitly advertises a RAG pipeline over Indian Kanoon content.</w:t>
      </w:r>
    </w:p>
    <w:tbl>
      <w:tblPr>
        <w:tblW w:w="5000" w:type="pct"/>
        <w:tblBorders>
          <w:top w:val="single" w:sz="4" w:space="0" w:color="DCEEE2"/>
          <w:left w:val="single" w:sz="36" w:space="0" w:color="1E7B45"/>
          <w:bottom w:val="single" w:sz="4" w:space="0" w:color="DCEEE2"/>
          <w:right w:val="single" w:sz="4" w:space="0" w:color="DCEEE2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56"/>
      </w:tblGrid>
      <w:tr w:rsidR="00A32436" w14:paraId="260161A1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DCEEE2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0FA3CBC" w14:textId="77777777" w:rsidR="00A32436" w:rsidRDefault="00000000">
            <w:pPr>
              <w:spacing w:after="60"/>
            </w:pPr>
            <w:r>
              <w:rPr>
                <w:b/>
                <w:bCs/>
                <w:color w:val="122840"/>
                <w:sz w:val="19"/>
                <w:szCs w:val="19"/>
              </w:rPr>
              <w:t xml:space="preserve">FIX APPLIED — Why </w:t>
            </w:r>
            <w:proofErr w:type="gramStart"/>
            <w:r>
              <w:rPr>
                <w:b/>
                <w:bCs/>
                <w:color w:val="122840"/>
                <w:sz w:val="19"/>
                <w:szCs w:val="19"/>
              </w:rPr>
              <w:t>this matters</w:t>
            </w:r>
            <w:proofErr w:type="gramEnd"/>
            <w:r>
              <w:rPr>
                <w:b/>
                <w:bCs/>
                <w:color w:val="122840"/>
                <w:sz w:val="19"/>
                <w:szCs w:val="19"/>
              </w:rPr>
              <w:t xml:space="preserve"> for positioning</w:t>
            </w:r>
          </w:p>
          <w:p w14:paraId="2AF8CDF1" w14:textId="4E99A4AF" w:rsidR="00A32436" w:rsidRDefault="00000000">
            <w:r>
              <w:rPr>
                <w:sz w:val="19"/>
                <w:szCs w:val="19"/>
              </w:rPr>
              <w:t xml:space="preserve">This is why </w:t>
            </w:r>
            <w:r w:rsidR="00452060">
              <w:rPr>
                <w:sz w:val="19"/>
                <w:szCs w:val="19"/>
              </w:rPr>
              <w:t>LAW</w:t>
            </w:r>
            <w:r>
              <w:rPr>
                <w:sz w:val="19"/>
                <w:szCs w:val="19"/>
              </w:rPr>
              <w:t>'s working name deliberately avoids the Nyaya-prefixed pattern (“Dhara” — the Hindi legal term for “Section” — was chosen instead), and why the MVP persona targets law students/exam-prep rather than general citizens: that specific niche already has multiple funded and unfunded entrants, none of which, from public information, publish retrieval-quality evidence or address the IPC→BNS transition as a named feature.</w:t>
            </w:r>
          </w:p>
        </w:tc>
      </w:tr>
    </w:tbl>
    <w:p w14:paraId="1E0B377B" w14:textId="77777777" w:rsidR="00A32436" w:rsidRDefault="00A32436">
      <w:pPr>
        <w:spacing w:after="160"/>
      </w:pPr>
    </w:p>
    <w:p w14:paraId="2F5C22EE" w14:textId="77777777" w:rsidR="00A32436" w:rsidRDefault="00000000">
      <w:pPr>
        <w:pStyle w:val="Heading2"/>
        <w:spacing w:before="360" w:after="160"/>
      </w:pPr>
      <w:bookmarkStart w:id="5" w:name="_Toc236332640"/>
      <w:r>
        <w:t>2.3 Global Legal-AI Comparables (Architecture Reference, Not Direct Competitors)</w:t>
      </w:r>
      <w:bookmarkEnd w:id="5"/>
    </w:p>
    <w:p w14:paraId="7CB4D59B" w14:textId="48C4B46E" w:rsidR="00A32436" w:rsidRDefault="00000000">
      <w:pPr>
        <w:spacing w:after="160" w:line="276" w:lineRule="auto"/>
      </w:pPr>
      <w:r>
        <w:t xml:space="preserve">Harvey AI — built for large law firms (60%+ of the AmLaw 100, reportedly valued in the $3–5B range) — is architected around sentence-level citations and a three-pronged “lawyer-in-the-loop” evaluation methodology rather than a single benchmark score. That citation-precision-first, evaluation-rigorous philosophy is directly relevant to </w:t>
      </w:r>
      <w:r w:rsidR="00452060">
        <w:t>LAW</w:t>
      </w:r>
      <w:r>
        <w:t xml:space="preserve">'s design even though Harvey targets </w:t>
      </w:r>
      <w:proofErr w:type="spellStart"/>
      <w:r>
        <w:t>BigLaw</w:t>
      </w:r>
      <w:proofErr w:type="spellEnd"/>
      <w:r>
        <w:t xml:space="preserve"> practice, not the Indian citizen/student segment.</w:t>
      </w:r>
    </w:p>
    <w:p w14:paraId="407390A6" w14:textId="77777777" w:rsidR="00A32436" w:rsidRDefault="00000000">
      <w:pPr>
        <w:pStyle w:val="Heading2"/>
        <w:spacing w:before="360" w:after="160"/>
      </w:pPr>
      <w:bookmarkStart w:id="6" w:name="_Toc236332641"/>
      <w:r>
        <w:t>2.4 Competitive Positioning Map</w:t>
      </w:r>
      <w:bookmarkEnd w:id="6"/>
    </w:p>
    <w:p w14:paraId="2C80F52A" w14:textId="77777777" w:rsidR="00A32436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28721574" wp14:editId="3BADC4EE">
            <wp:extent cx="5762625" cy="4991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99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A2352" w14:textId="77777777" w:rsidR="00A32436" w:rsidRDefault="00000000">
      <w:pPr>
        <w:spacing w:after="220"/>
        <w:jc w:val="center"/>
      </w:pPr>
      <w:r>
        <w:rPr>
          <w:i/>
          <w:iCs/>
          <w:color w:val="5B6B7C"/>
          <w:sz w:val="18"/>
          <w:szCs w:val="18"/>
        </w:rPr>
        <w:t>Figure 2.1 — Grounded-retrieval + exam/student focus is the least crowded combination on the map.</w:t>
      </w:r>
    </w:p>
    <w:p w14:paraId="393A038A" w14:textId="77777777" w:rsidR="00A32436" w:rsidRDefault="00000000">
      <w:r>
        <w:br w:type="page"/>
      </w:r>
    </w:p>
    <w:p w14:paraId="01A69D8D" w14:textId="77777777" w:rsidR="00A32436" w:rsidRDefault="00000000">
      <w:pPr>
        <w:pStyle w:val="Heading1"/>
        <w:pBdr>
          <w:bottom w:val="single" w:sz="10" w:space="6" w:color="B8892B"/>
        </w:pBdr>
        <w:spacing w:before="480" w:after="220"/>
      </w:pPr>
      <w:bookmarkStart w:id="7" w:name="_Toc236332642"/>
      <w:r>
        <w:lastRenderedPageBreak/>
        <w:t>3. Product Overview</w:t>
      </w:r>
      <w:bookmarkEnd w:id="7"/>
    </w:p>
    <w:p w14:paraId="6FF6EA95" w14:textId="77777777" w:rsidR="00A32436" w:rsidRDefault="00000000">
      <w:pPr>
        <w:pStyle w:val="Heading2"/>
        <w:spacing w:before="360" w:after="160"/>
      </w:pPr>
      <w:bookmarkStart w:id="8" w:name="_Toc236332643"/>
      <w:r>
        <w:t>3.1 Vision</w:t>
      </w:r>
      <w:bookmarkEnd w:id="8"/>
    </w:p>
    <w:p w14:paraId="6E925774" w14:textId="77777777" w:rsidR="00A32436" w:rsidRDefault="00000000">
      <w:pPr>
        <w:spacing w:after="160" w:line="276" w:lineRule="auto"/>
      </w:pPr>
      <w:r>
        <w:t>A trusted AI layer over Indian law — accurate, explainable, and source-grounded — usable by everyone from a first-year law student to, eventually, a compliance team at a fintech startup, all served by the same underlying retrieval engine and generic document model.</w:t>
      </w:r>
    </w:p>
    <w:p w14:paraId="7F31F625" w14:textId="77777777" w:rsidR="00A32436" w:rsidRDefault="00000000">
      <w:pPr>
        <w:pStyle w:val="Heading2"/>
        <w:spacing w:before="360" w:after="160"/>
      </w:pPr>
      <w:bookmarkStart w:id="9" w:name="_Toc236332644"/>
      <w:r>
        <w:t>3.2 Personas</w:t>
      </w:r>
      <w:bookmarkEnd w:id="9"/>
    </w:p>
    <w:tbl>
      <w:tblPr>
        <w:tblW w:w="5000" w:type="pct"/>
        <w:tblBorders>
          <w:top w:val="single" w:sz="4" w:space="0" w:color="D7DEE6"/>
          <w:left w:val="single" w:sz="4" w:space="0" w:color="D7DEE6"/>
          <w:bottom w:val="single" w:sz="4" w:space="0" w:color="D7DEE6"/>
          <w:right w:val="single" w:sz="4" w:space="0" w:color="D7DEE6"/>
          <w:insideH w:val="single" w:sz="4" w:space="0" w:color="D7DEE6"/>
          <w:insideV w:val="single" w:sz="4" w:space="0" w:color="D7DEE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03"/>
        <w:gridCol w:w="1745"/>
        <w:gridCol w:w="4848"/>
      </w:tblGrid>
      <w:tr w:rsidR="00A32436" w14:paraId="2154825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BCF722" w14:textId="77777777" w:rsidR="00A32436" w:rsidRDefault="00000000">
            <w:r>
              <w:rPr>
                <w:b/>
                <w:bCs/>
                <w:color w:val="FFFFFF"/>
                <w:sz w:val="19"/>
                <w:szCs w:val="19"/>
              </w:rPr>
              <w:t>Persona</w:t>
            </w:r>
          </w:p>
        </w:tc>
        <w:tc>
          <w:tcPr>
            <w:tcW w:w="9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619968" w14:textId="77777777" w:rsidR="00A32436" w:rsidRDefault="00000000">
            <w:r>
              <w:rPr>
                <w:b/>
                <w:bCs/>
                <w:color w:val="FFFFFF"/>
                <w:sz w:val="19"/>
                <w:szCs w:val="19"/>
              </w:rPr>
              <w:t>Phase</w:t>
            </w:r>
          </w:p>
        </w:tc>
        <w:tc>
          <w:tcPr>
            <w:tcW w:w="25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47249E" w14:textId="77777777" w:rsidR="00A32436" w:rsidRDefault="00000000">
            <w:r>
              <w:rPr>
                <w:b/>
                <w:bCs/>
                <w:color w:val="FFFFFF"/>
                <w:sz w:val="19"/>
                <w:szCs w:val="19"/>
              </w:rPr>
              <w:t>Core need</w:t>
            </w:r>
          </w:p>
        </w:tc>
      </w:tr>
      <w:tr w:rsidR="00A32436" w14:paraId="259F3625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219EFC5" w14:textId="77777777" w:rsidR="00A32436" w:rsidRDefault="00000000">
            <w:r>
              <w:rPr>
                <w:sz w:val="19"/>
                <w:szCs w:val="19"/>
              </w:rPr>
              <w:t>Law students &amp; exam aspirants</w:t>
            </w:r>
          </w:p>
        </w:tc>
        <w:tc>
          <w:tcPr>
            <w:tcW w:w="9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103091" w14:textId="77777777" w:rsidR="00A32436" w:rsidRDefault="00000000">
            <w:r>
              <w:rPr>
                <w:sz w:val="19"/>
                <w:szCs w:val="19"/>
              </w:rPr>
              <w:t>1 (MVP)</w:t>
            </w:r>
          </w:p>
        </w:tc>
        <w:tc>
          <w:tcPr>
            <w:tcW w:w="25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2424A9" w14:textId="77777777" w:rsidR="00A32436" w:rsidRDefault="00000000">
            <w:r>
              <w:rPr>
                <w:sz w:val="19"/>
                <w:szCs w:val="19"/>
              </w:rPr>
              <w:t>Precise, citation-backed answers; benchmarkable accuracy</w:t>
            </w:r>
          </w:p>
        </w:tc>
      </w:tr>
      <w:tr w:rsidR="00A32436" w14:paraId="7B1B3211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ECFF9B" w14:textId="77777777" w:rsidR="00A32436" w:rsidRDefault="00000000">
            <w:r>
              <w:rPr>
                <w:sz w:val="19"/>
                <w:szCs w:val="19"/>
              </w:rPr>
              <w:t>Informed citizens</w:t>
            </w:r>
          </w:p>
        </w:tc>
        <w:tc>
          <w:tcPr>
            <w:tcW w:w="9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16D92B" w14:textId="77777777" w:rsidR="00A32436" w:rsidRDefault="00000000">
            <w:r>
              <w:rPr>
                <w:sz w:val="19"/>
                <w:szCs w:val="19"/>
              </w:rPr>
              <w:t>1 (secondary)</w:t>
            </w:r>
          </w:p>
        </w:tc>
        <w:tc>
          <w:tcPr>
            <w:tcW w:w="25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9603C4" w14:textId="77777777" w:rsidR="00A32436" w:rsidRDefault="00000000">
            <w:r>
              <w:rPr>
                <w:sz w:val="19"/>
                <w:szCs w:val="19"/>
              </w:rPr>
              <w:t>Plain-language explanation of their rights and obligations</w:t>
            </w:r>
          </w:p>
        </w:tc>
      </w:tr>
      <w:tr w:rsidR="00A32436" w14:paraId="2EF164DD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5CBB66" w14:textId="77777777" w:rsidR="00A32436" w:rsidRDefault="00000000">
            <w:r>
              <w:rPr>
                <w:sz w:val="19"/>
                <w:szCs w:val="19"/>
              </w:rPr>
              <w:t>Lawyers &amp; researchers</w:t>
            </w:r>
          </w:p>
        </w:tc>
        <w:tc>
          <w:tcPr>
            <w:tcW w:w="9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8E1065" w14:textId="77777777" w:rsidR="00A32436" w:rsidRDefault="00000000">
            <w:r>
              <w:rPr>
                <w:sz w:val="19"/>
                <w:szCs w:val="19"/>
              </w:rPr>
              <w:t>4+</w:t>
            </w:r>
          </w:p>
        </w:tc>
        <w:tc>
          <w:tcPr>
            <w:tcW w:w="25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17D273" w14:textId="77777777" w:rsidR="00A32436" w:rsidRDefault="00000000">
            <w:r>
              <w:rPr>
                <w:sz w:val="19"/>
                <w:szCs w:val="19"/>
              </w:rPr>
              <w:t>Case-law depth, version history, higher trust bar</w:t>
            </w:r>
          </w:p>
        </w:tc>
      </w:tr>
      <w:tr w:rsidR="00A32436" w14:paraId="7399B476" w14:textId="77777777">
        <w:tblPrEx>
          <w:tblCellMar>
            <w:top w:w="0" w:type="dxa"/>
            <w:bottom w:w="0" w:type="dxa"/>
          </w:tblCellMar>
        </w:tblPrEx>
        <w:tc>
          <w:tcPr>
            <w:tcW w:w="16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B73904" w14:textId="77777777" w:rsidR="00A32436" w:rsidRDefault="00000000">
            <w:r>
              <w:rPr>
                <w:sz w:val="19"/>
                <w:szCs w:val="19"/>
              </w:rPr>
              <w:t xml:space="preserve">Businesses / </w:t>
            </w:r>
            <w:proofErr w:type="spellStart"/>
            <w:r>
              <w:rPr>
                <w:sz w:val="19"/>
                <w:szCs w:val="19"/>
              </w:rPr>
              <w:t>govtech</w:t>
            </w:r>
            <w:proofErr w:type="spellEnd"/>
            <w:r>
              <w:rPr>
                <w:sz w:val="19"/>
                <w:szCs w:val="19"/>
              </w:rPr>
              <w:t xml:space="preserve"> / fintech (via API)</w:t>
            </w:r>
          </w:p>
        </w:tc>
        <w:tc>
          <w:tcPr>
            <w:tcW w:w="9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133A46" w14:textId="77777777" w:rsidR="00A32436" w:rsidRDefault="00000000">
            <w:r>
              <w:rPr>
                <w:sz w:val="19"/>
                <w:szCs w:val="19"/>
              </w:rPr>
              <w:t>6+</w:t>
            </w:r>
          </w:p>
        </w:tc>
        <w:tc>
          <w:tcPr>
            <w:tcW w:w="25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AF77F4" w14:textId="77777777" w:rsidR="00A32436" w:rsidRDefault="00000000">
            <w:r>
              <w:rPr>
                <w:sz w:val="19"/>
                <w:szCs w:val="19"/>
              </w:rPr>
              <w:t>Programmatic, compliance-grounded legal Q&amp;A</w:t>
            </w:r>
          </w:p>
        </w:tc>
      </w:tr>
    </w:tbl>
    <w:p w14:paraId="6AAD1790" w14:textId="77777777" w:rsidR="00A32436" w:rsidRDefault="00000000">
      <w:pPr>
        <w:pStyle w:val="Heading2"/>
        <w:spacing w:before="360" w:after="160"/>
      </w:pPr>
      <w:bookmarkStart w:id="10" w:name="_Toc236332645"/>
      <w:r>
        <w:t>3.3 What Makes This Defensible, Not Just Different</w:t>
      </w:r>
      <w:bookmarkEnd w:id="10"/>
    </w:p>
    <w:p w14:paraId="0D6DE388" w14:textId="77777777" w:rsidR="00A32436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 xml:space="preserve">Hybrid retrieval (keyword + semantic + </w:t>
      </w:r>
      <w:proofErr w:type="spellStart"/>
      <w:r>
        <w:t>rerank</w:t>
      </w:r>
      <w:proofErr w:type="spellEnd"/>
      <w:r>
        <w:t>) instead of vector-search-only — legal text's exact identifiers (“Section 144”) are precisely what pure embeddings under-retrieve.</w:t>
      </w:r>
    </w:p>
    <w:p w14:paraId="4BBE8151" w14:textId="77777777" w:rsidR="00A32436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 xml:space="preserve">Faithfulness-checked citations — a </w:t>
      </w:r>
      <w:proofErr w:type="gramStart"/>
      <w:r>
        <w:t>second-pass</w:t>
      </w:r>
      <w:proofErr w:type="gramEnd"/>
      <w:r>
        <w:t xml:space="preserve"> check before an answer ships, not just a citation shown for appearance.</w:t>
      </w:r>
    </w:p>
    <w:p w14:paraId="6673E102" w14:textId="77777777" w:rsidR="00A32436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The IPC→BNS repealed-mapping feature — a concrete, demonstrable answer to a real, high-volume legal-transition question that generic tools handle poorly.</w:t>
      </w:r>
    </w:p>
    <w:p w14:paraId="068BE8BD" w14:textId="77777777" w:rsidR="00A32436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A generic data model — the platform's growth path (new laws, new jurisdictions) is a data task, evidenced in the architecture itself, not a roadmap promise.</w:t>
      </w:r>
    </w:p>
    <w:p w14:paraId="406C5A6D" w14:textId="77777777" w:rsidR="00A32436" w:rsidRDefault="00000000">
      <w:r>
        <w:br w:type="page"/>
      </w:r>
    </w:p>
    <w:p w14:paraId="17D5D12E" w14:textId="77777777" w:rsidR="00A32436" w:rsidRDefault="00000000">
      <w:pPr>
        <w:pStyle w:val="Heading1"/>
        <w:pBdr>
          <w:bottom w:val="single" w:sz="10" w:space="6" w:color="B8892B"/>
        </w:pBdr>
        <w:spacing w:before="480" w:after="220"/>
      </w:pPr>
      <w:bookmarkStart w:id="11" w:name="_Toc236332646"/>
      <w:r>
        <w:lastRenderedPageBreak/>
        <w:t>4. System Architecture</w:t>
      </w:r>
      <w:bookmarkEnd w:id="11"/>
    </w:p>
    <w:p w14:paraId="00C6936D" w14:textId="77777777" w:rsidR="00A32436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1468A45F" wp14:editId="0D76960C">
            <wp:extent cx="6038850" cy="4191000"/>
            <wp:effectExtent l="0" t="0" r="0" b="0"/>
            <wp:docPr id="939998780" name="Picture 9399987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27B89" w14:textId="77777777" w:rsidR="00A32436" w:rsidRDefault="00000000">
      <w:pPr>
        <w:spacing w:after="220"/>
        <w:jc w:val="center"/>
      </w:pPr>
      <w:r>
        <w:rPr>
          <w:i/>
          <w:iCs/>
          <w:color w:val="5B6B7C"/>
          <w:sz w:val="18"/>
          <w:szCs w:val="18"/>
        </w:rPr>
        <w:t>Figure 4.1 — End-to-end pipeline (full detail in the SDD).</w:t>
      </w:r>
    </w:p>
    <w:p w14:paraId="291A26CA" w14:textId="77777777" w:rsidR="00A32436" w:rsidRDefault="00000000">
      <w:pPr>
        <w:spacing w:before="160" w:after="60"/>
        <w:jc w:val="center"/>
      </w:pPr>
      <w:r>
        <w:rPr>
          <w:noProof/>
        </w:rPr>
        <w:lastRenderedPageBreak/>
        <w:drawing>
          <wp:inline distT="0" distB="0" distL="0" distR="0" wp14:anchorId="1967136B" wp14:editId="2260A72C">
            <wp:extent cx="5124450" cy="8705850"/>
            <wp:effectExtent l="0" t="0" r="0" b="0"/>
            <wp:docPr id="1064205947" name="Picture 10642059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870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EE786" w14:textId="77777777" w:rsidR="00A32436" w:rsidRDefault="00000000">
      <w:pPr>
        <w:spacing w:after="220"/>
        <w:jc w:val="center"/>
      </w:pPr>
      <w:r>
        <w:rPr>
          <w:i/>
          <w:iCs/>
          <w:color w:val="5B6B7C"/>
          <w:sz w:val="18"/>
          <w:szCs w:val="18"/>
        </w:rPr>
        <w:t>Figure 4.2 — Query to grounded answer.</w:t>
      </w:r>
    </w:p>
    <w:p w14:paraId="4D14FF35" w14:textId="77777777" w:rsidR="00A32436" w:rsidRDefault="00000000">
      <w:pPr>
        <w:spacing w:after="160" w:line="276" w:lineRule="auto"/>
      </w:pPr>
      <w:r>
        <w:lastRenderedPageBreak/>
        <w:t>Full architectural detail — component-by-component design, database schema, API surface, algorithms, security threat model, and the reasoned Architecture Decision Record log — lives in the companion Software Design Document. This section is the map; the SDD is the territory.</w:t>
      </w:r>
    </w:p>
    <w:p w14:paraId="398F7417" w14:textId="77777777" w:rsidR="00A32436" w:rsidRDefault="00000000">
      <w:r>
        <w:br w:type="page"/>
      </w:r>
    </w:p>
    <w:p w14:paraId="4F65560B" w14:textId="77777777" w:rsidR="00A32436" w:rsidRDefault="00000000">
      <w:pPr>
        <w:pStyle w:val="Heading1"/>
        <w:pBdr>
          <w:bottom w:val="single" w:sz="10" w:space="6" w:color="B8892B"/>
        </w:pBdr>
        <w:spacing w:before="480" w:after="220"/>
      </w:pPr>
      <w:bookmarkStart w:id="12" w:name="_Toc236332647"/>
      <w:r>
        <w:lastRenderedPageBreak/>
        <w:t>5. Technology Stack</w:t>
      </w:r>
      <w:bookmarkEnd w:id="12"/>
    </w:p>
    <w:p w14:paraId="7DA2CCF8" w14:textId="77777777" w:rsidR="00A32436" w:rsidRDefault="00000000">
      <w:pPr>
        <w:spacing w:after="160" w:line="276" w:lineRule="auto"/>
      </w:pPr>
      <w:r>
        <w:t xml:space="preserve">Every choice below is sized to what a 3-person team can actually </w:t>
      </w:r>
      <w:proofErr w:type="gramStart"/>
      <w:r>
        <w:t>operate, and</w:t>
      </w:r>
      <w:proofErr w:type="gramEnd"/>
      <w:r>
        <w:t xml:space="preserve"> cross-checked against what comparable production systems use — not selected from a generic “modern AI stack” checklist.</w:t>
      </w:r>
    </w:p>
    <w:p w14:paraId="699E324A" w14:textId="77777777" w:rsidR="00A32436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70F9F868" wp14:editId="40BB9B2D">
            <wp:extent cx="5848350" cy="5848350"/>
            <wp:effectExtent l="0" t="0" r="0" b="0"/>
            <wp:docPr id="893292340" name="Picture 8932923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584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C25CF" w14:textId="77777777" w:rsidR="00A32436" w:rsidRDefault="00000000">
      <w:pPr>
        <w:spacing w:after="220"/>
        <w:jc w:val="center"/>
      </w:pPr>
      <w:r>
        <w:rPr>
          <w:i/>
          <w:iCs/>
          <w:color w:val="5B6B7C"/>
          <w:sz w:val="18"/>
          <w:szCs w:val="18"/>
        </w:rPr>
        <w:t>Figure 5.1 — The stack, layer by layer.</w:t>
      </w:r>
    </w:p>
    <w:p w14:paraId="084369BE" w14:textId="77777777" w:rsidR="00A32436" w:rsidRDefault="00000000">
      <w:pPr>
        <w:pStyle w:val="Heading2"/>
        <w:spacing w:before="360" w:after="160"/>
      </w:pPr>
      <w:bookmarkStart w:id="13" w:name="_Toc236332648"/>
      <w:r>
        <w:t>5.1 Layer-by-Layer Rationale, With Comparables</w:t>
      </w:r>
      <w:bookmarkEnd w:id="13"/>
    </w:p>
    <w:tbl>
      <w:tblPr>
        <w:tblW w:w="5000" w:type="pct"/>
        <w:tblBorders>
          <w:top w:val="single" w:sz="4" w:space="0" w:color="D7DEE6"/>
          <w:left w:val="single" w:sz="4" w:space="0" w:color="D7DEE6"/>
          <w:bottom w:val="single" w:sz="4" w:space="0" w:color="D7DEE6"/>
          <w:right w:val="single" w:sz="4" w:space="0" w:color="D7DEE6"/>
          <w:insideH w:val="single" w:sz="4" w:space="0" w:color="D7DEE6"/>
          <w:insideV w:val="single" w:sz="4" w:space="0" w:color="D7DEE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1"/>
        <w:gridCol w:w="3297"/>
        <w:gridCol w:w="4848"/>
      </w:tblGrid>
      <w:tr w:rsidR="00A32436" w14:paraId="52D5DCD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3C5519" w14:textId="77777777" w:rsidR="00A32436" w:rsidRDefault="00000000">
            <w:r>
              <w:rPr>
                <w:b/>
                <w:bCs/>
                <w:color w:val="FFFFFF"/>
                <w:sz w:val="19"/>
                <w:szCs w:val="19"/>
              </w:rPr>
              <w:t>Layer</w:t>
            </w:r>
          </w:p>
        </w:tc>
        <w:tc>
          <w:tcPr>
            <w:tcW w:w="17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9966F7" w14:textId="7528D1C4" w:rsidR="00A32436" w:rsidRDefault="00452060">
            <w:r>
              <w:rPr>
                <w:b/>
                <w:bCs/>
                <w:color w:val="FFFFFF"/>
                <w:sz w:val="19"/>
                <w:szCs w:val="19"/>
              </w:rPr>
              <w:t>LAW</w:t>
            </w:r>
            <w:r w:rsidR="00000000">
              <w:rPr>
                <w:b/>
                <w:bCs/>
                <w:color w:val="FFFFFF"/>
                <w:sz w:val="19"/>
                <w:szCs w:val="19"/>
              </w:rPr>
              <w:t xml:space="preserve"> choice</w:t>
            </w:r>
          </w:p>
        </w:tc>
        <w:tc>
          <w:tcPr>
            <w:tcW w:w="25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0FE520" w14:textId="77777777" w:rsidR="00A32436" w:rsidRDefault="00000000">
            <w:r>
              <w:rPr>
                <w:b/>
                <w:bCs/>
                <w:color w:val="FFFFFF"/>
                <w:sz w:val="19"/>
                <w:szCs w:val="19"/>
              </w:rPr>
              <w:t>How it compares</w:t>
            </w:r>
          </w:p>
        </w:tc>
      </w:tr>
      <w:tr w:rsidR="00A32436" w14:paraId="2FFF88F5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85B9E8" w14:textId="77777777" w:rsidR="00A32436" w:rsidRDefault="00000000">
            <w:r>
              <w:rPr>
                <w:sz w:val="19"/>
                <w:szCs w:val="19"/>
              </w:rPr>
              <w:t>Retrieval</w:t>
            </w:r>
          </w:p>
        </w:tc>
        <w:tc>
          <w:tcPr>
            <w:tcW w:w="17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39F404" w14:textId="77777777" w:rsidR="00A32436" w:rsidRDefault="00000000">
            <w:proofErr w:type="spellStart"/>
            <w:r>
              <w:rPr>
                <w:sz w:val="19"/>
                <w:szCs w:val="19"/>
              </w:rPr>
              <w:t>Qdrant</w:t>
            </w:r>
            <w:proofErr w:type="spellEnd"/>
            <w:r>
              <w:rPr>
                <w:sz w:val="19"/>
                <w:szCs w:val="19"/>
              </w:rPr>
              <w:t xml:space="preserve"> native hybrid (dense + sparse) search, RRF fusion, cross-encoder </w:t>
            </w:r>
            <w:proofErr w:type="spellStart"/>
            <w:r>
              <w:rPr>
                <w:sz w:val="19"/>
                <w:szCs w:val="19"/>
              </w:rPr>
              <w:t>rerank</w:t>
            </w:r>
            <w:proofErr w:type="spellEnd"/>
          </w:p>
        </w:tc>
        <w:tc>
          <w:tcPr>
            <w:tcW w:w="25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53054E" w14:textId="77777777" w:rsidR="00A32436" w:rsidRDefault="00000000">
            <w:r>
              <w:rPr>
                <w:sz w:val="19"/>
                <w:szCs w:val="19"/>
              </w:rPr>
              <w:t>Perplexity's production search stack similarly retrieves at sub-document (chunk) granularity and fuses multiple signals before generation, rather than relying on a single embedding pass — the same principle, applied here to legal text's identifier-heavy structure.</w:t>
            </w:r>
          </w:p>
        </w:tc>
      </w:tr>
      <w:tr w:rsidR="00A32436" w14:paraId="1A1D400B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35F026" w14:textId="77777777" w:rsidR="00A32436" w:rsidRDefault="00000000">
            <w:r>
              <w:rPr>
                <w:sz w:val="19"/>
                <w:szCs w:val="19"/>
              </w:rPr>
              <w:t>Citations</w:t>
            </w:r>
          </w:p>
        </w:tc>
        <w:tc>
          <w:tcPr>
            <w:tcW w:w="17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4AD725" w14:textId="77777777" w:rsidR="00A32436" w:rsidRDefault="00000000">
            <w:r>
              <w:rPr>
                <w:sz w:val="19"/>
                <w:szCs w:val="19"/>
              </w:rPr>
              <w:t>Section-level, faithfulness-checked before the answer ships</w:t>
            </w:r>
          </w:p>
        </w:tc>
        <w:tc>
          <w:tcPr>
            <w:tcW w:w="25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2C6B4D" w14:textId="77777777" w:rsidR="00A32436" w:rsidRDefault="00000000">
            <w:r>
              <w:rPr>
                <w:sz w:val="19"/>
                <w:szCs w:val="19"/>
              </w:rPr>
              <w:t>Harvey AI's stated design emphasis on sentence-level citations and lawyer-in-the-loop evaluation validates citation-precision as a first-order design goal, not a UI nicety, in serious legal-AI products.</w:t>
            </w:r>
          </w:p>
        </w:tc>
      </w:tr>
      <w:tr w:rsidR="00A32436" w14:paraId="04DA69DD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2E9C04" w14:textId="77777777" w:rsidR="00A32436" w:rsidRDefault="00000000">
            <w:r>
              <w:rPr>
                <w:sz w:val="19"/>
                <w:szCs w:val="19"/>
              </w:rPr>
              <w:lastRenderedPageBreak/>
              <w:t>Generation</w:t>
            </w:r>
          </w:p>
        </w:tc>
        <w:tc>
          <w:tcPr>
            <w:tcW w:w="17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24443B" w14:textId="77777777" w:rsidR="00A32436" w:rsidRDefault="00000000">
            <w:r>
              <w:rPr>
                <w:sz w:val="19"/>
                <w:szCs w:val="19"/>
              </w:rPr>
              <w:t>Vertex AI (Gemini), no self-hosted LLM</w:t>
            </w:r>
          </w:p>
        </w:tc>
        <w:tc>
          <w:tcPr>
            <w:tcW w:w="25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5A722A" w14:textId="77777777" w:rsidR="00A32436" w:rsidRDefault="00000000">
            <w:r>
              <w:rPr>
                <w:sz w:val="19"/>
                <w:szCs w:val="19"/>
              </w:rPr>
              <w:t>Consistent with the broader industry pattern of separating a specialized retrieval layer from a general-purpose hosted LLM for generation, rather than fine-tuning or self-hosting a generation model before there's a proven need to.</w:t>
            </w:r>
          </w:p>
        </w:tc>
      </w:tr>
      <w:tr w:rsidR="00A32436" w14:paraId="6FB412B7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1BE407" w14:textId="77777777" w:rsidR="00A32436" w:rsidRDefault="00000000">
            <w:r>
              <w:rPr>
                <w:sz w:val="19"/>
                <w:szCs w:val="19"/>
              </w:rPr>
              <w:t>Data layer</w:t>
            </w:r>
          </w:p>
        </w:tc>
        <w:tc>
          <w:tcPr>
            <w:tcW w:w="17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07C8D8" w14:textId="77777777" w:rsidR="00A32436" w:rsidRDefault="00000000">
            <w:r>
              <w:rPr>
                <w:sz w:val="19"/>
                <w:szCs w:val="19"/>
              </w:rPr>
              <w:t xml:space="preserve">PostgreSQL + </w:t>
            </w:r>
            <w:proofErr w:type="spellStart"/>
            <w:r>
              <w:rPr>
                <w:sz w:val="19"/>
                <w:szCs w:val="19"/>
              </w:rPr>
              <w:t>Qdrant</w:t>
            </w:r>
            <w:proofErr w:type="spellEnd"/>
            <w:r>
              <w:rPr>
                <w:sz w:val="19"/>
                <w:szCs w:val="19"/>
              </w:rPr>
              <w:t>, no separate Elasticsearch/OpenSearch at MVP</w:t>
            </w:r>
          </w:p>
        </w:tc>
        <w:tc>
          <w:tcPr>
            <w:tcW w:w="25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B0DA50" w14:textId="77777777" w:rsidR="00A32436" w:rsidRDefault="00000000">
            <w:proofErr w:type="spellStart"/>
            <w:r>
              <w:rPr>
                <w:sz w:val="19"/>
                <w:szCs w:val="19"/>
              </w:rPr>
              <w:t>Qdrant's</w:t>
            </w:r>
            <w:proofErr w:type="spellEnd"/>
            <w:r>
              <w:rPr>
                <w:sz w:val="19"/>
                <w:szCs w:val="19"/>
              </w:rPr>
              <w:t xml:space="preserve"> native hybrid support removes a service that many earlier RAG architectures needed only because their vector database lacked built-in sparse-vector support.</w:t>
            </w:r>
          </w:p>
        </w:tc>
      </w:tr>
      <w:tr w:rsidR="00A32436" w14:paraId="4CD92384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3EE6A5" w14:textId="77777777" w:rsidR="00A32436" w:rsidRDefault="00000000">
            <w:r>
              <w:rPr>
                <w:sz w:val="19"/>
                <w:szCs w:val="19"/>
              </w:rPr>
              <w:t>Infra</w:t>
            </w:r>
          </w:p>
        </w:tc>
        <w:tc>
          <w:tcPr>
            <w:tcW w:w="17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234500" w14:textId="77777777" w:rsidR="00A32436" w:rsidRDefault="00000000">
            <w:r>
              <w:rPr>
                <w:sz w:val="19"/>
                <w:szCs w:val="19"/>
              </w:rPr>
              <w:t>Cloud Run first, GKE deferred until justified</w:t>
            </w:r>
          </w:p>
        </w:tc>
        <w:tc>
          <w:tcPr>
            <w:tcW w:w="25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1ACA8C" w14:textId="77777777" w:rsidR="00A32436" w:rsidRDefault="00000000">
            <w:r>
              <w:rPr>
                <w:sz w:val="19"/>
                <w:szCs w:val="19"/>
              </w:rPr>
              <w:t>Mirrors the just-in-time infrastructure principle used throughout the design (SDD ADR log) — provision for the load that exists, not the load that might exist.</w:t>
            </w:r>
          </w:p>
        </w:tc>
      </w:tr>
    </w:tbl>
    <w:p w14:paraId="413463CF" w14:textId="77777777" w:rsidR="00A32436" w:rsidRDefault="00000000">
      <w:pPr>
        <w:pStyle w:val="Heading2"/>
        <w:spacing w:before="360" w:after="160"/>
      </w:pPr>
      <w:bookmarkStart w:id="14" w:name="_Toc236332649"/>
      <w:r>
        <w:t>5.2 What's Deliberately Not in the Stack (Yet)</w:t>
      </w:r>
      <w:bookmarkEnd w:id="14"/>
    </w:p>
    <w:tbl>
      <w:tblPr>
        <w:tblW w:w="5000" w:type="pct"/>
        <w:tblBorders>
          <w:top w:val="single" w:sz="4" w:space="0" w:color="D7DEE6"/>
          <w:left w:val="single" w:sz="4" w:space="0" w:color="D7DEE6"/>
          <w:bottom w:val="single" w:sz="4" w:space="0" w:color="D7DEE6"/>
          <w:right w:val="single" w:sz="4" w:space="0" w:color="D7DEE6"/>
          <w:insideH w:val="single" w:sz="4" w:space="0" w:color="D7DEE6"/>
          <w:insideV w:val="single" w:sz="4" w:space="0" w:color="D7DEE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1"/>
        <w:gridCol w:w="7175"/>
      </w:tblGrid>
      <w:tr w:rsidR="00A32436" w14:paraId="19B49D6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E5C269" w14:textId="77777777" w:rsidR="00A32436" w:rsidRDefault="00000000">
            <w:r>
              <w:rPr>
                <w:b/>
                <w:bCs/>
                <w:color w:val="FFFFFF"/>
                <w:sz w:val="19"/>
                <w:szCs w:val="19"/>
              </w:rPr>
              <w:t>Not (yet) used</w:t>
            </w:r>
          </w:p>
        </w:tc>
        <w:tc>
          <w:tcPr>
            <w:tcW w:w="37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5FF130" w14:textId="77777777" w:rsidR="00A32436" w:rsidRDefault="00000000">
            <w:r>
              <w:rPr>
                <w:b/>
                <w:bCs/>
                <w:color w:val="FFFFFF"/>
                <w:sz w:val="19"/>
                <w:szCs w:val="19"/>
              </w:rPr>
              <w:t>Why, and when it would be reconsidered</w:t>
            </w:r>
          </w:p>
        </w:tc>
      </w:tr>
      <w:tr w:rsidR="00A32436" w14:paraId="2475FAC7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0624AC" w14:textId="77777777" w:rsidR="00A32436" w:rsidRDefault="00000000">
            <w:r>
              <w:rPr>
                <w:sz w:val="19"/>
                <w:szCs w:val="19"/>
              </w:rPr>
              <w:t>Elasticsearch / OpenSearch</w:t>
            </w:r>
          </w:p>
        </w:tc>
        <w:tc>
          <w:tcPr>
            <w:tcW w:w="37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B9A830" w14:textId="77777777" w:rsidR="00A32436" w:rsidRDefault="00000000">
            <w:proofErr w:type="spellStart"/>
            <w:r>
              <w:rPr>
                <w:sz w:val="19"/>
                <w:szCs w:val="19"/>
              </w:rPr>
              <w:t>Qdrant's</w:t>
            </w:r>
            <w:proofErr w:type="spellEnd"/>
            <w:r>
              <w:rPr>
                <w:sz w:val="19"/>
                <w:szCs w:val="19"/>
              </w:rPr>
              <w:t xml:space="preserve"> native hybrid search covers Phase 1–3 needs; reconsidered only if faceted-search requirements at Phase 6+ scale specifically need it.</w:t>
            </w:r>
          </w:p>
        </w:tc>
      </w:tr>
      <w:tr w:rsidR="00A32436" w14:paraId="4C95A1AF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2266C1" w14:textId="77777777" w:rsidR="00A32436" w:rsidRDefault="00000000">
            <w:r>
              <w:rPr>
                <w:sz w:val="19"/>
                <w:szCs w:val="19"/>
              </w:rPr>
              <w:t>Celery / Redis</w:t>
            </w:r>
          </w:p>
        </w:tc>
        <w:tc>
          <w:tcPr>
            <w:tcW w:w="37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CCD860" w14:textId="77777777" w:rsidR="00A32436" w:rsidRDefault="00000000">
            <w:r>
              <w:rPr>
                <w:sz w:val="19"/>
                <w:szCs w:val="19"/>
              </w:rPr>
              <w:t>Ingestion at Phase 1–2 volume runs fine as synchronous, resumable jobs; reconsidered when ingestion genuinely needs to be asynchronous at scale.</w:t>
            </w:r>
          </w:p>
        </w:tc>
      </w:tr>
      <w:tr w:rsidR="00A32436" w14:paraId="0B6627AD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688301" w14:textId="77777777" w:rsidR="00A32436" w:rsidRDefault="00000000">
            <w:r>
              <w:rPr>
                <w:sz w:val="19"/>
                <w:szCs w:val="19"/>
              </w:rPr>
              <w:t>Prometheus / Grafana</w:t>
            </w:r>
          </w:p>
        </w:tc>
        <w:tc>
          <w:tcPr>
            <w:tcW w:w="37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767B53" w14:textId="77777777" w:rsidR="00A32436" w:rsidRDefault="00000000">
            <w:r>
              <w:rPr>
                <w:sz w:val="19"/>
                <w:szCs w:val="19"/>
              </w:rPr>
              <w:t>Cloud Logging/Monitoring (already part of the GCP deployment) covers Phase 1–2 observability; reconsidered once there's enough in production to justify dedicated dashboards.</w:t>
            </w:r>
          </w:p>
        </w:tc>
      </w:tr>
      <w:tr w:rsidR="00A32436" w14:paraId="3E4F8AAB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0CC986" w14:textId="77777777" w:rsidR="00A32436" w:rsidRDefault="00000000">
            <w:r>
              <w:rPr>
                <w:sz w:val="19"/>
                <w:szCs w:val="19"/>
              </w:rPr>
              <w:t>A dedicated graph database</w:t>
            </w:r>
          </w:p>
        </w:tc>
        <w:tc>
          <w:tcPr>
            <w:tcW w:w="37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9C03EE" w14:textId="77777777" w:rsidR="00A32436" w:rsidRDefault="00000000">
            <w:r>
              <w:rPr>
                <w:sz w:val="19"/>
                <w:szCs w:val="19"/>
              </w:rPr>
              <w:t>The cross-reference graph is one-hop at Phase 1–3 scope — a Postgres adjacency array and a reverse-lookup query cover it without a seventh service to operate.</w:t>
            </w:r>
          </w:p>
        </w:tc>
      </w:tr>
      <w:tr w:rsidR="00A32436" w14:paraId="7F58DF16" w14:textId="77777777">
        <w:tblPrEx>
          <w:tblCellMar>
            <w:top w:w="0" w:type="dxa"/>
            <w:bottom w:w="0" w:type="dxa"/>
          </w:tblCellMar>
        </w:tblPrEx>
        <w:tc>
          <w:tcPr>
            <w:tcW w:w="13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87875C" w14:textId="77777777" w:rsidR="00A32436" w:rsidRDefault="00000000">
            <w:r>
              <w:rPr>
                <w:sz w:val="19"/>
                <w:szCs w:val="19"/>
              </w:rPr>
              <w:t>Self-hosted / fine-tuned LLM</w:t>
            </w:r>
          </w:p>
        </w:tc>
        <w:tc>
          <w:tcPr>
            <w:tcW w:w="37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60819B" w14:textId="77777777" w:rsidR="00A32436" w:rsidRDefault="00000000">
            <w:r>
              <w:rPr>
                <w:sz w:val="19"/>
                <w:szCs w:val="19"/>
              </w:rPr>
              <w:t>The local dev hardware's GPU/VRAM budget can't host a capable LLM alongside embeddings and reranking; Vertex AI is used for inference only, with no fine-tuning until Phase 1–2 prove the concept.</w:t>
            </w:r>
          </w:p>
        </w:tc>
      </w:tr>
    </w:tbl>
    <w:p w14:paraId="0F734FA6" w14:textId="77777777" w:rsidR="00A32436" w:rsidRDefault="00000000">
      <w:r>
        <w:br w:type="page"/>
      </w:r>
    </w:p>
    <w:p w14:paraId="55C34222" w14:textId="77777777" w:rsidR="00A32436" w:rsidRDefault="00000000">
      <w:pPr>
        <w:pStyle w:val="Heading1"/>
        <w:pBdr>
          <w:bottom w:val="single" w:sz="10" w:space="6" w:color="B8892B"/>
        </w:pBdr>
        <w:spacing w:before="480" w:after="220"/>
      </w:pPr>
      <w:bookmarkStart w:id="15" w:name="_Toc236332650"/>
      <w:r>
        <w:lastRenderedPageBreak/>
        <w:t>6. Roadmap Summary</w:t>
      </w:r>
      <w:bookmarkEnd w:id="15"/>
    </w:p>
    <w:p w14:paraId="3ECD0059" w14:textId="77777777" w:rsidR="00A32436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783CEEAD" wp14:editId="549D612D">
            <wp:extent cx="6038850" cy="3095625"/>
            <wp:effectExtent l="0" t="0" r="0" b="0"/>
            <wp:docPr id="127762083" name="Picture 1277620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322AF" w14:textId="77777777" w:rsidR="00A32436" w:rsidRDefault="00000000">
      <w:pPr>
        <w:spacing w:after="220"/>
        <w:jc w:val="center"/>
      </w:pPr>
      <w:r>
        <w:rPr>
          <w:i/>
          <w:iCs/>
          <w:color w:val="5B6B7C"/>
          <w:sz w:val="18"/>
          <w:szCs w:val="18"/>
        </w:rPr>
        <w:t>Figure 6.1 — Full roadmap; per-phase task breakdown and Definition of Done in the Project Workflow document.</w:t>
      </w:r>
    </w:p>
    <w:p w14:paraId="7CA670EE" w14:textId="77777777" w:rsidR="00A32436" w:rsidRDefault="00000000">
      <w:pPr>
        <w:spacing w:after="160" w:line="276" w:lineRule="auto"/>
      </w:pPr>
      <w:r>
        <w:t>Phase 0–2 (roughly the first 11 weeks) is the complete, demonstrable core: a live, publicly reachable product answering Constitution and BNS/BNSS/BSA questions with measured retrieval quality and a working IPC→BNS mapping feature. Everything from Phase 3 onward is genuine platform growth, not padding — but it is sequenced so each phase is a real, shippable increment rather than a promise bundled into a single “full vision” release.</w:t>
      </w:r>
    </w:p>
    <w:p w14:paraId="1847671B" w14:textId="77777777" w:rsidR="00A32436" w:rsidRDefault="00000000">
      <w:r>
        <w:br w:type="page"/>
      </w:r>
    </w:p>
    <w:p w14:paraId="064B280A" w14:textId="77777777" w:rsidR="00A32436" w:rsidRDefault="00000000">
      <w:pPr>
        <w:pStyle w:val="Heading1"/>
        <w:pBdr>
          <w:bottom w:val="single" w:sz="10" w:space="6" w:color="B8892B"/>
        </w:pBdr>
        <w:spacing w:before="480" w:after="220"/>
      </w:pPr>
      <w:bookmarkStart w:id="16" w:name="_Toc236332651"/>
      <w:r>
        <w:lastRenderedPageBreak/>
        <w:t>7. Team Summary</w:t>
      </w:r>
      <w:bookmarkEnd w:id="16"/>
    </w:p>
    <w:p w14:paraId="0C4BC813" w14:textId="77777777" w:rsidR="00A32436" w:rsidRDefault="00000000">
      <w:pPr>
        <w:spacing w:before="160" w:after="60"/>
        <w:jc w:val="center"/>
      </w:pPr>
      <w:r>
        <w:rPr>
          <w:noProof/>
        </w:rPr>
        <w:drawing>
          <wp:inline distT="0" distB="0" distL="0" distR="0" wp14:anchorId="34A5DEC7" wp14:editId="5A60538E">
            <wp:extent cx="6038850" cy="5705475"/>
            <wp:effectExtent l="0" t="0" r="0" b="0"/>
            <wp:docPr id="19637363" name="Picture 196373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570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73C78" w14:textId="77777777" w:rsidR="00A32436" w:rsidRDefault="00000000">
      <w:pPr>
        <w:spacing w:after="220"/>
        <w:jc w:val="center"/>
      </w:pPr>
      <w:r>
        <w:rPr>
          <w:i/>
          <w:iCs/>
          <w:color w:val="5B6B7C"/>
          <w:sz w:val="18"/>
          <w:szCs w:val="18"/>
        </w:rPr>
        <w:t>Figure 7.1 — Full responsibilities, handoffs, and ramp-up plan in the Role Division document.</w:t>
      </w:r>
    </w:p>
    <w:p w14:paraId="11E7B0F2" w14:textId="77777777" w:rsidR="00A32436" w:rsidRDefault="00000000">
      <w:r>
        <w:br w:type="page"/>
      </w:r>
    </w:p>
    <w:p w14:paraId="007BF63B" w14:textId="77777777" w:rsidR="00A32436" w:rsidRDefault="00000000">
      <w:pPr>
        <w:pStyle w:val="Heading1"/>
        <w:pBdr>
          <w:bottom w:val="single" w:sz="10" w:space="6" w:color="B8892B"/>
        </w:pBdr>
        <w:spacing w:before="480" w:after="220"/>
      </w:pPr>
      <w:bookmarkStart w:id="17" w:name="_Toc236332652"/>
      <w:r>
        <w:lastRenderedPageBreak/>
        <w:t>8. Business Model &amp; Monetization</w:t>
      </w:r>
      <w:bookmarkEnd w:id="17"/>
    </w:p>
    <w:p w14:paraId="2EA1DF65" w14:textId="77777777" w:rsidR="00A32436" w:rsidRDefault="00000000">
      <w:pPr>
        <w:spacing w:after="160" w:line="276" w:lineRule="auto"/>
      </w:pPr>
      <w:r>
        <w:t>Not part of the original technical planning conversation, but a necessary companion to “treat this as a startup” — laid out here as a directional model to validate, not a committed plan.</w:t>
      </w:r>
    </w:p>
    <w:tbl>
      <w:tblPr>
        <w:tblW w:w="5000" w:type="pct"/>
        <w:tblBorders>
          <w:top w:val="single" w:sz="4" w:space="0" w:color="D7DEE6"/>
          <w:left w:val="single" w:sz="4" w:space="0" w:color="D7DEE6"/>
          <w:bottom w:val="single" w:sz="4" w:space="0" w:color="D7DEE6"/>
          <w:right w:val="single" w:sz="4" w:space="0" w:color="D7DEE6"/>
          <w:insideH w:val="single" w:sz="4" w:space="0" w:color="D7DEE6"/>
          <w:insideV w:val="single" w:sz="4" w:space="0" w:color="D7DEE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51"/>
        <w:gridCol w:w="3297"/>
        <w:gridCol w:w="4848"/>
      </w:tblGrid>
      <w:tr w:rsidR="00A32436" w14:paraId="1646DA4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03F4BF" w14:textId="77777777" w:rsidR="00A32436" w:rsidRDefault="00000000">
            <w:r>
              <w:rPr>
                <w:b/>
                <w:bCs/>
                <w:color w:val="FFFFFF"/>
                <w:sz w:val="19"/>
                <w:szCs w:val="19"/>
              </w:rPr>
              <w:t>Tier</w:t>
            </w:r>
          </w:p>
        </w:tc>
        <w:tc>
          <w:tcPr>
            <w:tcW w:w="17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D0F435" w14:textId="77777777" w:rsidR="00A32436" w:rsidRDefault="00000000">
            <w:r>
              <w:rPr>
                <w:b/>
                <w:bCs/>
                <w:color w:val="FFFFFF"/>
                <w:sz w:val="19"/>
                <w:szCs w:val="19"/>
              </w:rPr>
              <w:t>Who</w:t>
            </w:r>
          </w:p>
        </w:tc>
        <w:tc>
          <w:tcPr>
            <w:tcW w:w="25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35428D" w14:textId="77777777" w:rsidR="00A32436" w:rsidRDefault="00000000">
            <w:r>
              <w:rPr>
                <w:b/>
                <w:bCs/>
                <w:color w:val="FFFFFF"/>
                <w:sz w:val="19"/>
                <w:szCs w:val="19"/>
              </w:rPr>
              <w:t>Model</w:t>
            </w:r>
          </w:p>
        </w:tc>
      </w:tr>
      <w:tr w:rsidR="00A32436" w14:paraId="5E7C26E9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096B8" w14:textId="77777777" w:rsidR="00A32436" w:rsidRDefault="00000000">
            <w:r>
              <w:rPr>
                <w:sz w:val="19"/>
                <w:szCs w:val="19"/>
              </w:rPr>
              <w:t>Free</w:t>
            </w:r>
          </w:p>
        </w:tc>
        <w:tc>
          <w:tcPr>
            <w:tcW w:w="17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12F4E4" w14:textId="77777777" w:rsidR="00A32436" w:rsidRDefault="00000000">
            <w:r>
              <w:rPr>
                <w:sz w:val="19"/>
                <w:szCs w:val="19"/>
              </w:rPr>
              <w:t>Citizens, students (rate-limited)</w:t>
            </w:r>
          </w:p>
        </w:tc>
        <w:tc>
          <w:tcPr>
            <w:tcW w:w="25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49B39C" w14:textId="77777777" w:rsidR="00A32436" w:rsidRDefault="00000000">
            <w:r>
              <w:rPr>
                <w:sz w:val="19"/>
                <w:szCs w:val="19"/>
              </w:rPr>
              <w:t>Ad-free, rate-limited access; the growth and trust-building layer.</w:t>
            </w:r>
          </w:p>
        </w:tc>
      </w:tr>
      <w:tr w:rsidR="00A32436" w14:paraId="4AF6D7A7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ED9E2C" w14:textId="77777777" w:rsidR="00A32436" w:rsidRDefault="00000000">
            <w:r>
              <w:rPr>
                <w:sz w:val="19"/>
                <w:szCs w:val="19"/>
              </w:rPr>
              <w:t>Pro</w:t>
            </w:r>
          </w:p>
        </w:tc>
        <w:tc>
          <w:tcPr>
            <w:tcW w:w="17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D9DC8B" w14:textId="77777777" w:rsidR="00A32436" w:rsidRDefault="00000000">
            <w:r>
              <w:rPr>
                <w:sz w:val="19"/>
                <w:szCs w:val="19"/>
              </w:rPr>
              <w:t>Serious students/exam aspirants, individual lawyers</w:t>
            </w:r>
          </w:p>
        </w:tc>
        <w:tc>
          <w:tcPr>
            <w:tcW w:w="25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EEA32D" w14:textId="77777777" w:rsidR="00A32436" w:rsidRDefault="00000000">
            <w:r>
              <w:rPr>
                <w:sz w:val="19"/>
                <w:szCs w:val="19"/>
              </w:rPr>
              <w:t>Subscription: unlimited queries, deeper case-law access (post-Phase 4), version-comparison tools (Phase 7).</w:t>
            </w:r>
          </w:p>
        </w:tc>
      </w:tr>
      <w:tr w:rsidR="00A32436" w14:paraId="0C349554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BC077E" w14:textId="77777777" w:rsidR="00A32436" w:rsidRDefault="00000000">
            <w:r>
              <w:rPr>
                <w:sz w:val="19"/>
                <w:szCs w:val="19"/>
              </w:rPr>
              <w:t>API / B2B</w:t>
            </w:r>
          </w:p>
        </w:tc>
        <w:tc>
          <w:tcPr>
            <w:tcW w:w="17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786735" w14:textId="77777777" w:rsidR="00A32436" w:rsidRDefault="00000000">
            <w:proofErr w:type="spellStart"/>
            <w:r>
              <w:rPr>
                <w:sz w:val="19"/>
                <w:szCs w:val="19"/>
              </w:rPr>
              <w:t>Legaltech</w:t>
            </w:r>
            <w:proofErr w:type="spellEnd"/>
            <w:r>
              <w:rPr>
                <w:sz w:val="19"/>
                <w:szCs w:val="19"/>
              </w:rPr>
              <w:t xml:space="preserve">, fintech, </w:t>
            </w:r>
            <w:proofErr w:type="spellStart"/>
            <w:r>
              <w:rPr>
                <w:sz w:val="19"/>
                <w:szCs w:val="19"/>
              </w:rPr>
              <w:t>govtech</w:t>
            </w:r>
            <w:proofErr w:type="spellEnd"/>
            <w:r>
              <w:rPr>
                <w:sz w:val="19"/>
                <w:szCs w:val="19"/>
              </w:rPr>
              <w:t xml:space="preserve"> platforms needing compliance-grounded legal Q&amp;A</w:t>
            </w:r>
          </w:p>
        </w:tc>
        <w:tc>
          <w:tcPr>
            <w:tcW w:w="25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1C2E9A" w14:textId="77777777" w:rsidR="00A32436" w:rsidRDefault="00000000">
            <w:r>
              <w:rPr>
                <w:sz w:val="19"/>
                <w:szCs w:val="19"/>
              </w:rPr>
              <w:t>Usage-based pricing on the Phase 6+ developer API.</w:t>
            </w:r>
          </w:p>
        </w:tc>
      </w:tr>
      <w:tr w:rsidR="00A32436" w14:paraId="7B918693" w14:textId="77777777">
        <w:tblPrEx>
          <w:tblCellMar>
            <w:top w:w="0" w:type="dxa"/>
            <w:bottom w:w="0" w:type="dxa"/>
          </w:tblCellMar>
        </w:tblPrEx>
        <w:tc>
          <w:tcPr>
            <w:tcW w:w="8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5160A6" w14:textId="77777777" w:rsidR="00A32436" w:rsidRDefault="00000000">
            <w:r>
              <w:rPr>
                <w:sz w:val="19"/>
                <w:szCs w:val="19"/>
              </w:rPr>
              <w:t>B2G (directional)</w:t>
            </w:r>
          </w:p>
        </w:tc>
        <w:tc>
          <w:tcPr>
            <w:tcW w:w="17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F5B5CB" w14:textId="77777777" w:rsidR="00A32436" w:rsidRDefault="00000000">
            <w:r>
              <w:rPr>
                <w:sz w:val="19"/>
                <w:szCs w:val="19"/>
              </w:rPr>
              <w:t>State legal-aid or digital-governance integrations</w:t>
            </w:r>
          </w:p>
        </w:tc>
        <w:tc>
          <w:tcPr>
            <w:tcW w:w="25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4BFF65" w14:textId="77777777" w:rsidR="00A32436" w:rsidRDefault="00000000">
            <w:r>
              <w:rPr>
                <w:sz w:val="19"/>
                <w:szCs w:val="19"/>
              </w:rPr>
              <w:t>Explored only after Pro/API tiers show real traction — government sales cycles are long and shouldn't gate early validation.</w:t>
            </w:r>
          </w:p>
        </w:tc>
      </w:tr>
      <w:tr w:rsidR="00A32436" w14:paraId="177E259C" w14:textId="77777777">
        <w:tblPrEx>
          <w:tblBorders>
            <w:top w:val="single" w:sz="4" w:space="0" w:color="F3E4C4"/>
            <w:left w:val="single" w:sz="36" w:space="0" w:color="B8892B"/>
            <w:bottom w:val="single" w:sz="4" w:space="0" w:color="F3E4C4"/>
            <w:right w:val="single" w:sz="4" w:space="0" w:color="F3E4C4"/>
            <w:insideH w:val="none" w:sz="0" w:space="0" w:color="FFFFFF"/>
            <w:insideV w:val="none" w:sz="0" w:space="0" w:color="FFFFFF"/>
          </w:tblBorders>
          <w:tblCellMar>
            <w:top w:w="0" w:type="dxa"/>
            <w:bottom w:w="0" w:type="dxa"/>
          </w:tblCellMar>
        </w:tblPrEx>
        <w:trPr>
          <w:gridBefore w:val="1"/>
          <w:gridAfter w:val="1"/>
          <w:wBefore w:w="40" w:type="dxa"/>
          <w:wAfter w:w="160" w:type="dxa"/>
        </w:trPr>
        <w:tc>
          <w:tcPr>
            <w:tcW w:w="0" w:type="auto"/>
            <w:shd w:val="clear" w:color="auto" w:fill="F3E4C4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E4C125" w14:textId="77777777" w:rsidR="00A32436" w:rsidRDefault="00000000">
            <w:pPr>
              <w:spacing w:after="60"/>
            </w:pPr>
            <w:r>
              <w:rPr>
                <w:b/>
                <w:bCs/>
                <w:color w:val="122840"/>
                <w:sz w:val="19"/>
                <w:szCs w:val="19"/>
              </w:rPr>
              <w:t>ASSUMPTION — Treated as hypotheses, not commitments</w:t>
            </w:r>
          </w:p>
          <w:p w14:paraId="1AD27924" w14:textId="77777777" w:rsidR="00A32436" w:rsidRDefault="00000000">
            <w:r>
              <w:rPr>
                <w:sz w:val="19"/>
                <w:szCs w:val="19"/>
              </w:rPr>
              <w:t>None of these tiers should be built out before the Phase 1–2 product proves retrieval quality and real usage. The point of naming them now is so Phase 3+ product decisions (e.g. what goes behind a paywall) aren't made ad hoc later.</w:t>
            </w:r>
          </w:p>
        </w:tc>
      </w:tr>
    </w:tbl>
    <w:p w14:paraId="5D7588BE" w14:textId="77777777" w:rsidR="00A32436" w:rsidRDefault="00A32436">
      <w:pPr>
        <w:spacing w:after="160"/>
      </w:pPr>
    </w:p>
    <w:p w14:paraId="010BCE46" w14:textId="77777777" w:rsidR="00A32436" w:rsidRDefault="00000000">
      <w:r>
        <w:br w:type="page"/>
      </w:r>
    </w:p>
    <w:p w14:paraId="3CF50076" w14:textId="77777777" w:rsidR="00A32436" w:rsidRDefault="00000000">
      <w:pPr>
        <w:pStyle w:val="Heading1"/>
        <w:pBdr>
          <w:bottom w:val="single" w:sz="10" w:space="6" w:color="B8892B"/>
        </w:pBdr>
        <w:spacing w:before="480" w:after="220"/>
      </w:pPr>
      <w:bookmarkStart w:id="18" w:name="_Toc236332653"/>
      <w:r>
        <w:lastRenderedPageBreak/>
        <w:t>9. Risk Register</w:t>
      </w:r>
      <w:bookmarkEnd w:id="18"/>
    </w:p>
    <w:tbl>
      <w:tblPr>
        <w:tblW w:w="5000" w:type="pct"/>
        <w:tblBorders>
          <w:top w:val="single" w:sz="4" w:space="0" w:color="D7DEE6"/>
          <w:left w:val="single" w:sz="4" w:space="0" w:color="D7DEE6"/>
          <w:bottom w:val="single" w:sz="4" w:space="0" w:color="D7DEE6"/>
          <w:right w:val="single" w:sz="4" w:space="0" w:color="D7DEE6"/>
          <w:insideH w:val="single" w:sz="4" w:space="0" w:color="D7DEE6"/>
          <w:insideV w:val="single" w:sz="4" w:space="0" w:color="D7DEE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91"/>
        <w:gridCol w:w="1599"/>
        <w:gridCol w:w="5406"/>
      </w:tblGrid>
      <w:tr w:rsidR="00A32436" w14:paraId="393339A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1F8F14" w14:textId="77777777" w:rsidR="00A32436" w:rsidRDefault="00000000">
            <w:r>
              <w:rPr>
                <w:b/>
                <w:bCs/>
                <w:color w:val="FFFFFF"/>
                <w:sz w:val="19"/>
                <w:szCs w:val="19"/>
              </w:rPr>
              <w:t>Risk</w:t>
            </w:r>
          </w:p>
        </w:tc>
        <w:tc>
          <w:tcPr>
            <w:tcW w:w="8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C0B9E6" w14:textId="77777777" w:rsidR="00A32436" w:rsidRDefault="00000000">
            <w:r>
              <w:rPr>
                <w:b/>
                <w:bCs/>
                <w:color w:val="FFFFFF"/>
                <w:sz w:val="19"/>
                <w:szCs w:val="19"/>
              </w:rPr>
              <w:t>Category</w:t>
            </w:r>
          </w:p>
        </w:tc>
        <w:tc>
          <w:tcPr>
            <w:tcW w:w="28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A878E7" w14:textId="77777777" w:rsidR="00A32436" w:rsidRDefault="00000000">
            <w:r>
              <w:rPr>
                <w:b/>
                <w:bCs/>
                <w:color w:val="FFFFFF"/>
                <w:sz w:val="19"/>
                <w:szCs w:val="19"/>
              </w:rPr>
              <w:t>Mitigation</w:t>
            </w:r>
          </w:p>
        </w:tc>
      </w:tr>
      <w:tr w:rsidR="00A32436" w14:paraId="676FE17E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372F00" w14:textId="77777777" w:rsidR="00A32436" w:rsidRDefault="00000000">
            <w:r>
              <w:rPr>
                <w:sz w:val="19"/>
                <w:szCs w:val="19"/>
              </w:rPr>
              <w:t>Answer treated as legal advice; user relies on a wrong high-stakes answer</w:t>
            </w:r>
          </w:p>
        </w:tc>
        <w:tc>
          <w:tcPr>
            <w:tcW w:w="8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131ED1" w14:textId="77777777" w:rsidR="00A32436" w:rsidRDefault="00000000">
            <w:r>
              <w:rPr>
                <w:sz w:val="19"/>
                <w:szCs w:val="19"/>
              </w:rPr>
              <w:t>Legal/liability</w:t>
            </w:r>
          </w:p>
        </w:tc>
        <w:tc>
          <w:tcPr>
            <w:tcW w:w="28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920FAA" w14:textId="77777777" w:rsidR="00A32436" w:rsidRDefault="00000000">
            <w:r>
              <w:rPr>
                <w:sz w:val="19"/>
                <w:szCs w:val="19"/>
              </w:rPr>
              <w:t>UPL-safe disclaimer-and-scope-limiting design is a MUST requirement (SRS FR-SEC-004), not launch polish.</w:t>
            </w:r>
          </w:p>
        </w:tc>
      </w:tr>
      <w:tr w:rsidR="00A32436" w14:paraId="5543A67B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2A9EFA" w14:textId="77777777" w:rsidR="00A32436" w:rsidRDefault="00000000">
            <w:r>
              <w:rPr>
                <w:sz w:val="19"/>
                <w:szCs w:val="19"/>
              </w:rPr>
              <w:t xml:space="preserve">Source portal </w:t>
            </w:r>
            <w:proofErr w:type="spellStart"/>
            <w:r>
              <w:rPr>
                <w:sz w:val="19"/>
                <w:szCs w:val="19"/>
              </w:rPr>
              <w:t>ToS</w:t>
            </w:r>
            <w:proofErr w:type="spellEnd"/>
            <w:r>
              <w:rPr>
                <w:sz w:val="19"/>
                <w:szCs w:val="19"/>
              </w:rPr>
              <w:t xml:space="preserve"> violation during crawling</w:t>
            </w:r>
          </w:p>
        </w:tc>
        <w:tc>
          <w:tcPr>
            <w:tcW w:w="8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21AE7E" w14:textId="77777777" w:rsidR="00A32436" w:rsidRDefault="00000000">
            <w:r>
              <w:rPr>
                <w:sz w:val="19"/>
                <w:szCs w:val="19"/>
              </w:rPr>
              <w:t>Legal/compliance</w:t>
            </w:r>
          </w:p>
        </w:tc>
        <w:tc>
          <w:tcPr>
            <w:tcW w:w="28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2FF12B" w14:textId="77777777" w:rsidR="00A32436" w:rsidRDefault="00000000">
            <w:r>
              <w:rPr>
                <w:sz w:val="19"/>
                <w:szCs w:val="19"/>
              </w:rPr>
              <w:t xml:space="preserve">Source registry compliance gate (FR-ING-001) blocks ingestion from any source without a logged </w:t>
            </w:r>
            <w:proofErr w:type="spellStart"/>
            <w:r>
              <w:rPr>
                <w:sz w:val="19"/>
                <w:szCs w:val="19"/>
              </w:rPr>
              <w:t>ToS</w:t>
            </w:r>
            <w:proofErr w:type="spellEnd"/>
            <w:r>
              <w:rPr>
                <w:sz w:val="19"/>
                <w:szCs w:val="19"/>
              </w:rPr>
              <w:t xml:space="preserve"> review.</w:t>
            </w:r>
          </w:p>
        </w:tc>
      </w:tr>
      <w:tr w:rsidR="00A32436" w14:paraId="1D7E5DEB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56AECD" w14:textId="77777777" w:rsidR="00A32436" w:rsidRDefault="00000000">
            <w:r>
              <w:rPr>
                <w:sz w:val="19"/>
                <w:szCs w:val="19"/>
              </w:rPr>
              <w:t>Personal data in judgments mishandled under DPDP Act</w:t>
            </w:r>
          </w:p>
        </w:tc>
        <w:tc>
          <w:tcPr>
            <w:tcW w:w="8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7CBA73" w14:textId="77777777" w:rsidR="00A32436" w:rsidRDefault="00000000">
            <w:r>
              <w:rPr>
                <w:sz w:val="19"/>
                <w:szCs w:val="19"/>
              </w:rPr>
              <w:t>Legal/compliance</w:t>
            </w:r>
          </w:p>
        </w:tc>
        <w:tc>
          <w:tcPr>
            <w:tcW w:w="28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09AEA9" w14:textId="77777777" w:rsidR="00A32436" w:rsidRDefault="00000000">
            <w:r>
              <w:rPr>
                <w:sz w:val="19"/>
                <w:szCs w:val="19"/>
              </w:rPr>
              <w:t>Dedicated redaction/exclusion pipeline (FR-ING-006) is a Phase 4 production-milestone blocker, not an add-later item.</w:t>
            </w:r>
          </w:p>
        </w:tc>
      </w:tr>
      <w:tr w:rsidR="00A32436" w14:paraId="5D54BB8F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E5AFA7" w14:textId="77777777" w:rsidR="00A32436" w:rsidRDefault="00000000">
            <w:r>
              <w:rPr>
                <w:sz w:val="19"/>
                <w:szCs w:val="19"/>
              </w:rPr>
              <w:t>Retrieval quality doesn't hold up outside hand-picked demo questions</w:t>
            </w:r>
          </w:p>
        </w:tc>
        <w:tc>
          <w:tcPr>
            <w:tcW w:w="8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9064BE" w14:textId="77777777" w:rsidR="00A32436" w:rsidRDefault="00000000">
            <w:r>
              <w:rPr>
                <w:sz w:val="19"/>
                <w:szCs w:val="19"/>
              </w:rPr>
              <w:t>Product/technical</w:t>
            </w:r>
          </w:p>
        </w:tc>
        <w:tc>
          <w:tcPr>
            <w:tcW w:w="28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75CD60" w14:textId="77777777" w:rsidR="00A32436" w:rsidRDefault="00000000">
            <w:r>
              <w:rPr>
                <w:sz w:val="19"/>
                <w:szCs w:val="19"/>
              </w:rPr>
              <w:t>Numeric, pre-committed evaluation targets (SRS Section 6) with CI-gated regression testing from Phase 2.</w:t>
            </w:r>
          </w:p>
        </w:tc>
      </w:tr>
      <w:tr w:rsidR="00A32436" w14:paraId="26FAE8E2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AC3511" w14:textId="77777777" w:rsidR="00A32436" w:rsidRDefault="00000000">
            <w:r>
              <w:rPr>
                <w:sz w:val="19"/>
                <w:szCs w:val="19"/>
              </w:rPr>
              <w:t>Team bandwidth (3-person, part-time-realistic team) vs. roadmap ambition</w:t>
            </w:r>
          </w:p>
        </w:tc>
        <w:tc>
          <w:tcPr>
            <w:tcW w:w="8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7C9807" w14:textId="77777777" w:rsidR="00A32436" w:rsidRDefault="00000000">
            <w:r>
              <w:rPr>
                <w:sz w:val="19"/>
                <w:szCs w:val="19"/>
              </w:rPr>
              <w:t>Execution</w:t>
            </w:r>
          </w:p>
        </w:tc>
        <w:tc>
          <w:tcPr>
            <w:tcW w:w="28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12FFE" w14:textId="77777777" w:rsidR="00A32436" w:rsidRDefault="00000000">
            <w:r>
              <w:rPr>
                <w:sz w:val="19"/>
                <w:szCs w:val="19"/>
              </w:rPr>
              <w:t>Phase durations are explicitly framed as revisable planning inputs (Project Workflow, Section 1.2); Phase 8 is explicitly directional rather than scheduled.</w:t>
            </w:r>
          </w:p>
        </w:tc>
      </w:tr>
      <w:tr w:rsidR="00A32436" w14:paraId="5B908FBF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C4F621" w14:textId="77777777" w:rsidR="00A32436" w:rsidRDefault="00000000">
            <w:r>
              <w:rPr>
                <w:sz w:val="19"/>
                <w:szCs w:val="19"/>
              </w:rPr>
              <w:t>Competitive response from an existing citizen-chatbot entrant</w:t>
            </w:r>
          </w:p>
        </w:tc>
        <w:tc>
          <w:tcPr>
            <w:tcW w:w="8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23032A" w14:textId="77777777" w:rsidR="00A32436" w:rsidRDefault="00000000">
            <w:r>
              <w:rPr>
                <w:sz w:val="19"/>
                <w:szCs w:val="19"/>
              </w:rPr>
              <w:t>Market</w:t>
            </w:r>
          </w:p>
        </w:tc>
        <w:tc>
          <w:tcPr>
            <w:tcW w:w="28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3D3E6C" w14:textId="77777777" w:rsidR="00A32436" w:rsidRDefault="00000000">
            <w:r>
              <w:rPr>
                <w:sz w:val="19"/>
                <w:szCs w:val="19"/>
              </w:rPr>
              <w:t>Differentiation is architectural (measured quality, IPC→BNS mapping, extensibility) rather than a feature an incumbent could trivially copy without similar retrieval-engineering investment.</w:t>
            </w:r>
          </w:p>
        </w:tc>
      </w:tr>
      <w:tr w:rsidR="00A32436" w14:paraId="7A71549A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E77C69" w14:textId="77777777" w:rsidR="00A32436" w:rsidRDefault="00000000">
            <w:r>
              <w:rPr>
                <w:sz w:val="19"/>
                <w:szCs w:val="19"/>
              </w:rPr>
              <w:t>Hosting/inference cost at Phase 6+ scale not yet budgeted in ₹ terms</w:t>
            </w:r>
          </w:p>
        </w:tc>
        <w:tc>
          <w:tcPr>
            <w:tcW w:w="8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9CA2CE" w14:textId="77777777" w:rsidR="00A32436" w:rsidRDefault="00000000">
            <w:r>
              <w:rPr>
                <w:sz w:val="19"/>
                <w:szCs w:val="19"/>
              </w:rPr>
              <w:t>Financial</w:t>
            </w:r>
          </w:p>
        </w:tc>
        <w:tc>
          <w:tcPr>
            <w:tcW w:w="28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1EB0CB" w14:textId="77777777" w:rsidR="00A32436" w:rsidRDefault="00000000">
            <w:r>
              <w:rPr>
                <w:sz w:val="19"/>
                <w:szCs w:val="19"/>
              </w:rPr>
              <w:t xml:space="preserve">Explicitly flagged as an open issue (SRS Appendix C) rather than assumed away; to be </w:t>
            </w:r>
            <w:proofErr w:type="spellStart"/>
            <w:r>
              <w:rPr>
                <w:sz w:val="19"/>
                <w:szCs w:val="19"/>
              </w:rPr>
              <w:t>modeled</w:t>
            </w:r>
            <w:proofErr w:type="spellEnd"/>
            <w:r>
              <w:rPr>
                <w:sz w:val="19"/>
                <w:szCs w:val="19"/>
              </w:rPr>
              <w:t xml:space="preserve"> once Phase 1–2 usage gives real per-query cost data.</w:t>
            </w:r>
          </w:p>
        </w:tc>
      </w:tr>
    </w:tbl>
    <w:p w14:paraId="68C797B2" w14:textId="77777777" w:rsidR="00A32436" w:rsidRDefault="00000000">
      <w:r>
        <w:br w:type="page"/>
      </w:r>
    </w:p>
    <w:p w14:paraId="4C137C54" w14:textId="77777777" w:rsidR="00A32436" w:rsidRDefault="00000000">
      <w:pPr>
        <w:pStyle w:val="Heading1"/>
        <w:pBdr>
          <w:bottom w:val="single" w:sz="10" w:space="6" w:color="B8892B"/>
        </w:pBdr>
        <w:spacing w:before="480" w:after="220"/>
      </w:pPr>
      <w:bookmarkStart w:id="19" w:name="_Toc236332654"/>
      <w:r>
        <w:lastRenderedPageBreak/>
        <w:t>10. Success Metrics</w:t>
      </w:r>
      <w:bookmarkEnd w:id="19"/>
    </w:p>
    <w:p w14:paraId="2295753D" w14:textId="77777777" w:rsidR="00A32436" w:rsidRDefault="00000000">
      <w:pPr>
        <w:pStyle w:val="Heading2"/>
        <w:spacing w:before="360" w:after="160"/>
      </w:pPr>
      <w:bookmarkStart w:id="20" w:name="_Toc236332655"/>
      <w:r>
        <w:t>10.1 Product Quality</w:t>
      </w:r>
      <w:bookmarkEnd w:id="20"/>
    </w:p>
    <w:tbl>
      <w:tblPr>
        <w:tblW w:w="5000" w:type="pct"/>
        <w:tblBorders>
          <w:top w:val="single" w:sz="4" w:space="0" w:color="D7DEE6"/>
          <w:left w:val="single" w:sz="4" w:space="0" w:color="D7DEE6"/>
          <w:bottom w:val="single" w:sz="4" w:space="0" w:color="D7DEE6"/>
          <w:right w:val="single" w:sz="4" w:space="0" w:color="D7DEE6"/>
          <w:insideH w:val="single" w:sz="4" w:space="0" w:color="D7DEE6"/>
          <w:insideV w:val="single" w:sz="4" w:space="0" w:color="D7DEE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818"/>
        <w:gridCol w:w="3878"/>
      </w:tblGrid>
      <w:tr w:rsidR="00A32436" w14:paraId="55EEFE1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BF6D04" w14:textId="77777777" w:rsidR="00A32436" w:rsidRDefault="00000000">
            <w:r>
              <w:rPr>
                <w:b/>
                <w:bCs/>
                <w:color w:val="FFFFFF"/>
                <w:sz w:val="19"/>
                <w:szCs w:val="19"/>
              </w:rPr>
              <w:t>Metric</w:t>
            </w:r>
          </w:p>
        </w:tc>
        <w:tc>
          <w:tcPr>
            <w:tcW w:w="20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C613B5" w14:textId="77777777" w:rsidR="00A32436" w:rsidRDefault="00000000">
            <w:r>
              <w:rPr>
                <w:b/>
                <w:bCs/>
                <w:color w:val="FFFFFF"/>
                <w:sz w:val="19"/>
                <w:szCs w:val="19"/>
              </w:rPr>
              <w:t>Target</w:t>
            </w:r>
          </w:p>
        </w:tc>
      </w:tr>
      <w:tr w:rsidR="00A32436" w14:paraId="62503859" w14:textId="77777777">
        <w:tblPrEx>
          <w:tblCellMar>
            <w:top w:w="0" w:type="dxa"/>
            <w:bottom w:w="0" w:type="dxa"/>
          </w:tblCellMar>
        </w:tblPrEx>
        <w:tc>
          <w:tcPr>
            <w:tcW w:w="30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978603" w14:textId="77777777" w:rsidR="00A32436" w:rsidRDefault="00000000">
            <w:r>
              <w:rPr>
                <w:sz w:val="19"/>
                <w:szCs w:val="19"/>
              </w:rPr>
              <w:t>Recall@5 (hand-</w:t>
            </w:r>
            <w:proofErr w:type="spellStart"/>
            <w:r>
              <w:rPr>
                <w:sz w:val="19"/>
                <w:szCs w:val="19"/>
              </w:rPr>
              <w:t>labeled</w:t>
            </w:r>
            <w:proofErr w:type="spellEnd"/>
            <w:r>
              <w:rPr>
                <w:sz w:val="19"/>
                <w:szCs w:val="19"/>
              </w:rPr>
              <w:t xml:space="preserve"> evaluation set)</w:t>
            </w:r>
          </w:p>
        </w:tc>
        <w:tc>
          <w:tcPr>
            <w:tcW w:w="20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FCF502" w14:textId="77777777" w:rsidR="00A32436" w:rsidRDefault="00000000">
            <w:r>
              <w:rPr>
                <w:sz w:val="19"/>
                <w:szCs w:val="19"/>
              </w:rPr>
              <w:t>&gt; 85%</w:t>
            </w:r>
          </w:p>
        </w:tc>
      </w:tr>
      <w:tr w:rsidR="00A32436" w14:paraId="1A36E0BF" w14:textId="77777777">
        <w:tblPrEx>
          <w:tblCellMar>
            <w:top w:w="0" w:type="dxa"/>
            <w:bottom w:w="0" w:type="dxa"/>
          </w:tblCellMar>
        </w:tblPrEx>
        <w:tc>
          <w:tcPr>
            <w:tcW w:w="30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8E9A74" w14:textId="77777777" w:rsidR="00A32436" w:rsidRDefault="00000000">
            <w:r>
              <w:rPr>
                <w:sz w:val="19"/>
                <w:szCs w:val="19"/>
              </w:rPr>
              <w:t>Citation faithfulness</w:t>
            </w:r>
          </w:p>
        </w:tc>
        <w:tc>
          <w:tcPr>
            <w:tcW w:w="20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C8321B" w14:textId="77777777" w:rsidR="00A32436" w:rsidRDefault="00000000">
            <w:r>
              <w:rPr>
                <w:sz w:val="19"/>
                <w:szCs w:val="19"/>
              </w:rPr>
              <w:t>&gt; 90%</w:t>
            </w:r>
          </w:p>
        </w:tc>
      </w:tr>
      <w:tr w:rsidR="00A32436" w14:paraId="7AB01AE8" w14:textId="77777777">
        <w:tblPrEx>
          <w:tblCellMar>
            <w:top w:w="0" w:type="dxa"/>
            <w:bottom w:w="0" w:type="dxa"/>
          </w:tblCellMar>
        </w:tblPrEx>
        <w:tc>
          <w:tcPr>
            <w:tcW w:w="30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58B5EF" w14:textId="77777777" w:rsidR="00A32436" w:rsidRDefault="00000000">
            <w:r>
              <w:rPr>
                <w:sz w:val="19"/>
                <w:szCs w:val="19"/>
              </w:rPr>
              <w:t>Out-of-scope refusal accuracy</w:t>
            </w:r>
          </w:p>
        </w:tc>
        <w:tc>
          <w:tcPr>
            <w:tcW w:w="20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4874A7" w14:textId="77777777" w:rsidR="00A32436" w:rsidRDefault="00000000">
            <w:r>
              <w:rPr>
                <w:sz w:val="19"/>
                <w:szCs w:val="19"/>
              </w:rPr>
              <w:t>&gt; 95%</w:t>
            </w:r>
          </w:p>
        </w:tc>
      </w:tr>
      <w:tr w:rsidR="00A32436" w14:paraId="686D6EA3" w14:textId="77777777">
        <w:tblPrEx>
          <w:tblCellMar>
            <w:top w:w="0" w:type="dxa"/>
            <w:bottom w:w="0" w:type="dxa"/>
          </w:tblCellMar>
        </w:tblPrEx>
        <w:tc>
          <w:tcPr>
            <w:tcW w:w="30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053A3B" w14:textId="77777777" w:rsidR="00A32436" w:rsidRDefault="00000000">
            <w:r>
              <w:rPr>
                <w:sz w:val="19"/>
                <w:szCs w:val="19"/>
              </w:rPr>
              <w:t>Retrieval latency, p95</w:t>
            </w:r>
          </w:p>
        </w:tc>
        <w:tc>
          <w:tcPr>
            <w:tcW w:w="20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97BE54" w14:textId="77777777" w:rsidR="00A32436" w:rsidRDefault="00000000">
            <w:r>
              <w:rPr>
                <w:sz w:val="19"/>
                <w:szCs w:val="19"/>
              </w:rPr>
              <w:t xml:space="preserve">&lt; 500 </w:t>
            </w:r>
            <w:proofErr w:type="spellStart"/>
            <w:r>
              <w:rPr>
                <w:sz w:val="19"/>
                <w:szCs w:val="19"/>
              </w:rPr>
              <w:t>ms</w:t>
            </w:r>
            <w:proofErr w:type="spellEnd"/>
          </w:p>
        </w:tc>
      </w:tr>
    </w:tbl>
    <w:p w14:paraId="493A400D" w14:textId="77777777" w:rsidR="00A32436" w:rsidRDefault="00000000">
      <w:pPr>
        <w:pStyle w:val="Heading2"/>
        <w:spacing w:before="360" w:after="160"/>
      </w:pPr>
      <w:bookmarkStart w:id="21" w:name="_Toc236332656"/>
      <w:r>
        <w:t>10.2 Usage &amp; Business (Directional, Post-Launch)</w:t>
      </w:r>
      <w:bookmarkEnd w:id="21"/>
    </w:p>
    <w:p w14:paraId="5AB80E95" w14:textId="77777777" w:rsidR="00A32436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Monthly active users and query volume, tracked from the Phase 1 production milestone.</w:t>
      </w:r>
    </w:p>
    <w:p w14:paraId="62145E7E" w14:textId="77777777" w:rsidR="00A32436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Free-to-Pro conversion rate, once the Pro tier exists (Section 8).</w:t>
      </w:r>
    </w:p>
    <w:p w14:paraId="4279E4FC" w14:textId="77777777" w:rsidR="00A32436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Developer API adoption (registered API keys, call volume), once the API ships (Phase 6).</w:t>
      </w:r>
    </w:p>
    <w:p w14:paraId="59526FE3" w14:textId="77777777" w:rsidR="00A32436" w:rsidRDefault="00000000">
      <w:pPr>
        <w:pStyle w:val="Heading2"/>
        <w:spacing w:before="360" w:after="160"/>
      </w:pPr>
      <w:bookmarkStart w:id="22" w:name="_Toc236332657"/>
      <w:r>
        <w:t>10.3 Technical Health</w:t>
      </w:r>
      <w:bookmarkEnd w:id="22"/>
    </w:p>
    <w:p w14:paraId="4A9B3739" w14:textId="77777777" w:rsidR="00A32436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CI-gated evaluation regression rate (target: zero unreviewed regressions reach production, from Phase 2 onward).</w:t>
      </w:r>
    </w:p>
    <w:p w14:paraId="3FA264CB" w14:textId="77777777" w:rsidR="00A32436" w:rsidRDefault="00000000">
      <w:pPr>
        <w:pStyle w:val="ListParagraph"/>
        <w:numPr>
          <w:ilvl w:val="0"/>
          <w:numId w:val="1"/>
        </w:numPr>
        <w:spacing w:after="90" w:line="276" w:lineRule="auto"/>
      </w:pPr>
      <w:r>
        <w:t>Uptime against the 99.5% target (SRS NFR-REL, Section 5.3).</w:t>
      </w:r>
    </w:p>
    <w:p w14:paraId="5401867A" w14:textId="77777777" w:rsidR="00A32436" w:rsidRDefault="00000000">
      <w:r>
        <w:br w:type="page"/>
      </w:r>
    </w:p>
    <w:p w14:paraId="5990E224" w14:textId="77777777" w:rsidR="00A32436" w:rsidRDefault="00000000">
      <w:pPr>
        <w:pStyle w:val="Heading1"/>
        <w:pBdr>
          <w:bottom w:val="single" w:sz="10" w:space="6" w:color="B8892B"/>
        </w:pBdr>
        <w:spacing w:before="480" w:after="220"/>
      </w:pPr>
      <w:bookmarkStart w:id="23" w:name="_Toc236332658"/>
      <w:r>
        <w:lastRenderedPageBreak/>
        <w:t>Appendix — Document Set Overview</w:t>
      </w:r>
      <w:bookmarkEnd w:id="23"/>
    </w:p>
    <w:p w14:paraId="26406788" w14:textId="77777777" w:rsidR="00A32436" w:rsidRDefault="00000000">
      <w:pPr>
        <w:spacing w:after="160" w:line="276" w:lineRule="auto"/>
      </w:pPr>
      <w:r>
        <w:t>This Master Document is the fifth of a five-document set. For implementation-level detail, see:</w:t>
      </w:r>
    </w:p>
    <w:tbl>
      <w:tblPr>
        <w:tblW w:w="5000" w:type="pct"/>
        <w:tblBorders>
          <w:top w:val="single" w:sz="4" w:space="0" w:color="D7DEE6"/>
          <w:left w:val="single" w:sz="4" w:space="0" w:color="D7DEE6"/>
          <w:bottom w:val="single" w:sz="4" w:space="0" w:color="D7DEE6"/>
          <w:right w:val="single" w:sz="4" w:space="0" w:color="D7DEE6"/>
          <w:insideH w:val="single" w:sz="4" w:space="0" w:color="D7DEE6"/>
          <w:insideV w:val="single" w:sz="4" w:space="0" w:color="D7DEE6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97"/>
        <w:gridCol w:w="6399"/>
      </w:tblGrid>
      <w:tr w:rsidR="00A32436" w14:paraId="2BB8A7B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D087D4" w14:textId="77777777" w:rsidR="00A32436" w:rsidRDefault="00000000">
            <w:r>
              <w:rPr>
                <w:b/>
                <w:bCs/>
                <w:color w:val="FFFFFF"/>
                <w:sz w:val="19"/>
                <w:szCs w:val="19"/>
              </w:rPr>
              <w:t>Document</w:t>
            </w:r>
          </w:p>
        </w:tc>
        <w:tc>
          <w:tcPr>
            <w:tcW w:w="3300" w:type="pct"/>
            <w:shd w:val="clear" w:color="auto" w:fill="1B3A5C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F78510" w14:textId="77777777" w:rsidR="00A32436" w:rsidRDefault="00000000">
            <w:r>
              <w:rPr>
                <w:b/>
                <w:bCs/>
                <w:color w:val="FFFFFF"/>
                <w:sz w:val="19"/>
                <w:szCs w:val="19"/>
              </w:rPr>
              <w:t>Contains</w:t>
            </w:r>
          </w:p>
        </w:tc>
      </w:tr>
      <w:tr w:rsidR="00A32436" w14:paraId="67400550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078081" w14:textId="77777777" w:rsidR="00A32436" w:rsidRDefault="00000000">
            <w:r>
              <w:rPr>
                <w:sz w:val="19"/>
                <w:szCs w:val="19"/>
              </w:rPr>
              <w:t>Software Requirements Specification (SRS)</w:t>
            </w:r>
          </w:p>
        </w:tc>
        <w:tc>
          <w:tcPr>
            <w:tcW w:w="33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D9D152" w14:textId="77777777" w:rsidR="00A32436" w:rsidRDefault="00000000">
            <w:r>
              <w:rPr>
                <w:sz w:val="19"/>
                <w:szCs w:val="19"/>
              </w:rPr>
              <w:t>Full functional and non-functional requirements, each with a stable ID, priority, and acceptance criterion.</w:t>
            </w:r>
          </w:p>
        </w:tc>
      </w:tr>
      <w:tr w:rsidR="00A32436" w14:paraId="361B0821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18B5B1" w14:textId="77777777" w:rsidR="00A32436" w:rsidRDefault="00000000">
            <w:r>
              <w:rPr>
                <w:sz w:val="19"/>
                <w:szCs w:val="19"/>
              </w:rPr>
              <w:t>Software Design Document (SDD)</w:t>
            </w:r>
          </w:p>
        </w:tc>
        <w:tc>
          <w:tcPr>
            <w:tcW w:w="33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FF02CB" w14:textId="77777777" w:rsidR="00A32436" w:rsidRDefault="00000000">
            <w:r>
              <w:rPr>
                <w:sz w:val="19"/>
                <w:szCs w:val="19"/>
              </w:rPr>
              <w:t>Architecture, data schemas, component design, API design, algorithms, security threat model, and the ADR log.</w:t>
            </w:r>
          </w:p>
        </w:tc>
      </w:tr>
      <w:tr w:rsidR="00A32436" w14:paraId="24FF20A6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13A06C" w14:textId="77777777" w:rsidR="00A32436" w:rsidRDefault="00000000">
            <w:r>
              <w:rPr>
                <w:sz w:val="19"/>
                <w:szCs w:val="19"/>
              </w:rPr>
              <w:t>Project Workflow</w:t>
            </w:r>
          </w:p>
        </w:tc>
        <w:tc>
          <w:tcPr>
            <w:tcW w:w="3300" w:type="pct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FE1F2E" w14:textId="77777777" w:rsidR="00A32436" w:rsidRDefault="00000000">
            <w:r>
              <w:rPr>
                <w:sz w:val="19"/>
                <w:szCs w:val="19"/>
              </w:rPr>
              <w:t>Phase-by-phase task breakdown, Definition of Done, and production milestones.</w:t>
            </w:r>
          </w:p>
        </w:tc>
      </w:tr>
      <w:tr w:rsidR="00A32436" w14:paraId="60D84348" w14:textId="77777777">
        <w:tblPrEx>
          <w:tblCellMar>
            <w:top w:w="0" w:type="dxa"/>
            <w:bottom w:w="0" w:type="dxa"/>
          </w:tblCellMar>
        </w:tblPrEx>
        <w:tc>
          <w:tcPr>
            <w:tcW w:w="17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943A5F" w14:textId="77777777" w:rsidR="00A32436" w:rsidRDefault="00000000">
            <w:r>
              <w:rPr>
                <w:sz w:val="19"/>
                <w:szCs w:val="19"/>
              </w:rPr>
              <w:t>Role Division</w:t>
            </w:r>
          </w:p>
        </w:tc>
        <w:tc>
          <w:tcPr>
            <w:tcW w:w="3300" w:type="pct"/>
            <w:shd w:val="clear" w:color="auto" w:fill="F7F8F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9045F2" w14:textId="77777777" w:rsidR="00A32436" w:rsidRDefault="00000000">
            <w:r>
              <w:rPr>
                <w:sz w:val="19"/>
                <w:szCs w:val="19"/>
              </w:rPr>
              <w:t>Full responsibilities, handoffs, ramp-up plans, and shared practices for the 3-person team.</w:t>
            </w:r>
          </w:p>
        </w:tc>
      </w:tr>
    </w:tbl>
    <w:p w14:paraId="639A1059" w14:textId="77777777" w:rsidR="00BB760F" w:rsidRDefault="00BB760F"/>
    <w:sectPr w:rsidR="00BB760F">
      <w:headerReference w:type="default" r:id="rId13"/>
      <w:footerReference w:type="default" r:id="rId14"/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B5ABB4" w14:textId="77777777" w:rsidR="00BB760F" w:rsidRDefault="00BB760F">
      <w:r>
        <w:separator/>
      </w:r>
    </w:p>
  </w:endnote>
  <w:endnote w:type="continuationSeparator" w:id="0">
    <w:p w14:paraId="08D074FE" w14:textId="77777777" w:rsidR="00BB760F" w:rsidRDefault="00BB76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39D2D0" w14:textId="77777777" w:rsidR="00A32436" w:rsidRDefault="00000000">
    <w:pPr>
      <w:pBdr>
        <w:top w:val="single" w:sz="4" w:space="4" w:color="D7DEE6"/>
      </w:pBdr>
      <w:tabs>
        <w:tab w:val="center" w:pos="4513"/>
        <w:tab w:val="right" w:pos="9026"/>
      </w:tabs>
    </w:pPr>
    <w:r>
      <w:rPr>
        <w:color w:val="5B6B7C"/>
        <w:sz w:val="16"/>
        <w:szCs w:val="16"/>
      </w:rPr>
      <w:t>v1.0 — July 2026</w:t>
    </w:r>
    <w:r>
      <w:rPr>
        <w:color w:val="5B6B7C"/>
        <w:sz w:val="16"/>
        <w:szCs w:val="16"/>
      </w:rPr>
      <w:tab/>
      <w:t xml:space="preserve">Page </w:t>
    </w:r>
    <w:r>
      <w:rPr>
        <w:color w:val="5B6B7C"/>
        <w:sz w:val="16"/>
        <w:szCs w:val="16"/>
      </w:rPr>
      <w:fldChar w:fldCharType="begin"/>
    </w:r>
    <w:r>
      <w:rPr>
        <w:color w:val="5B6B7C"/>
        <w:sz w:val="16"/>
        <w:szCs w:val="16"/>
      </w:rPr>
      <w:instrText>PAGE</w:instrText>
    </w:r>
    <w:r>
      <w:rPr>
        <w:color w:val="5B6B7C"/>
        <w:sz w:val="16"/>
        <w:szCs w:val="16"/>
      </w:rPr>
      <w:fldChar w:fldCharType="separate"/>
    </w:r>
    <w:r w:rsidR="00452060">
      <w:rPr>
        <w:noProof/>
        <w:color w:val="5B6B7C"/>
        <w:sz w:val="16"/>
        <w:szCs w:val="16"/>
      </w:rPr>
      <w:t>1</w:t>
    </w:r>
    <w:r>
      <w:rPr>
        <w:color w:val="5B6B7C"/>
        <w:sz w:val="16"/>
        <w:szCs w:val="16"/>
      </w:rPr>
      <w:fldChar w:fldCharType="end"/>
    </w:r>
    <w:r>
      <w:rPr>
        <w:color w:val="5B6B7C"/>
        <w:sz w:val="16"/>
        <w:szCs w:val="16"/>
      </w:rPr>
      <w:t xml:space="preserve"> of </w:t>
    </w:r>
    <w:r>
      <w:rPr>
        <w:color w:val="5B6B7C"/>
        <w:sz w:val="16"/>
        <w:szCs w:val="16"/>
      </w:rPr>
      <w:fldChar w:fldCharType="begin"/>
    </w:r>
    <w:r>
      <w:rPr>
        <w:color w:val="5B6B7C"/>
        <w:sz w:val="16"/>
        <w:szCs w:val="16"/>
      </w:rPr>
      <w:instrText>NUMPAGES</w:instrText>
    </w:r>
    <w:r>
      <w:rPr>
        <w:color w:val="5B6B7C"/>
        <w:sz w:val="16"/>
        <w:szCs w:val="16"/>
      </w:rPr>
      <w:fldChar w:fldCharType="separate"/>
    </w:r>
    <w:r w:rsidR="00452060">
      <w:rPr>
        <w:noProof/>
        <w:color w:val="5B6B7C"/>
        <w:sz w:val="16"/>
        <w:szCs w:val="16"/>
      </w:rPr>
      <w:t>1</w:t>
    </w:r>
    <w:r>
      <w:rPr>
        <w:color w:val="5B6B7C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DEA015" w14:textId="77777777" w:rsidR="00BB760F" w:rsidRDefault="00BB760F">
      <w:r>
        <w:separator/>
      </w:r>
    </w:p>
  </w:footnote>
  <w:footnote w:type="continuationSeparator" w:id="0">
    <w:p w14:paraId="3FBEE1C9" w14:textId="77777777" w:rsidR="00BB760F" w:rsidRDefault="00BB76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1ADBE6" w14:textId="193AFD39" w:rsidR="00A32436" w:rsidRDefault="00452060">
    <w:pPr>
      <w:pBdr>
        <w:bottom w:val="single" w:sz="4" w:space="4" w:color="D7DEE6"/>
      </w:pBdr>
      <w:tabs>
        <w:tab w:val="right" w:pos="9026"/>
      </w:tabs>
    </w:pPr>
    <w:r>
      <w:rPr>
        <w:b/>
        <w:bCs/>
        <w:color w:val="1B3A5C"/>
        <w:sz w:val="16"/>
        <w:szCs w:val="16"/>
      </w:rPr>
      <w:t>LAW</w:t>
    </w:r>
    <w:r>
      <w:rPr>
        <w:i/>
        <w:iCs/>
        <w:color w:val="5B6B7C"/>
        <w:sz w:val="16"/>
        <w:szCs w:val="16"/>
      </w:rPr>
      <w:t xml:space="preserve"> ·</w:t>
    </w:r>
    <w:r w:rsidR="00000000">
      <w:rPr>
        <w:i/>
        <w:iCs/>
        <w:color w:val="5B6B7C"/>
        <w:sz w:val="16"/>
        <w:szCs w:val="16"/>
      </w:rPr>
      <w:t xml:space="preserve"> Confidential Draft</w:t>
    </w:r>
    <w:r w:rsidR="00000000">
      <w:rPr>
        <w:color w:val="5B6B7C"/>
        <w:sz w:val="16"/>
        <w:szCs w:val="16"/>
      </w:rPr>
      <w:tab/>
      <w:t>Master Document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25024C"/>
    <w:multiLevelType w:val="hybridMultilevel"/>
    <w:tmpl w:val="2F787180"/>
    <w:lvl w:ilvl="0" w:tplc="CAC80916">
      <w:start w:val="1"/>
      <w:numFmt w:val="bullet"/>
      <w:lvlText w:val="●"/>
      <w:lvlJc w:val="left"/>
      <w:pPr>
        <w:ind w:left="720" w:hanging="360"/>
      </w:pPr>
    </w:lvl>
    <w:lvl w:ilvl="1" w:tplc="CF48A826">
      <w:start w:val="1"/>
      <w:numFmt w:val="bullet"/>
      <w:lvlText w:val="○"/>
      <w:lvlJc w:val="left"/>
      <w:pPr>
        <w:ind w:left="1440" w:hanging="360"/>
      </w:pPr>
    </w:lvl>
    <w:lvl w:ilvl="2" w:tplc="4760AB2E">
      <w:start w:val="1"/>
      <w:numFmt w:val="bullet"/>
      <w:lvlText w:val="■"/>
      <w:lvlJc w:val="left"/>
      <w:pPr>
        <w:ind w:left="2160" w:hanging="360"/>
      </w:pPr>
    </w:lvl>
    <w:lvl w:ilvl="3" w:tplc="AE384EDC">
      <w:start w:val="1"/>
      <w:numFmt w:val="bullet"/>
      <w:lvlText w:val="●"/>
      <w:lvlJc w:val="left"/>
      <w:pPr>
        <w:ind w:left="2880" w:hanging="360"/>
      </w:pPr>
    </w:lvl>
    <w:lvl w:ilvl="4" w:tplc="CC0A5ADE">
      <w:start w:val="1"/>
      <w:numFmt w:val="bullet"/>
      <w:lvlText w:val="○"/>
      <w:lvlJc w:val="left"/>
      <w:pPr>
        <w:ind w:left="3600" w:hanging="360"/>
      </w:pPr>
    </w:lvl>
    <w:lvl w:ilvl="5" w:tplc="572E0D14">
      <w:start w:val="1"/>
      <w:numFmt w:val="bullet"/>
      <w:lvlText w:val="■"/>
      <w:lvlJc w:val="left"/>
      <w:pPr>
        <w:ind w:left="4320" w:hanging="360"/>
      </w:pPr>
    </w:lvl>
    <w:lvl w:ilvl="6" w:tplc="2960A79C">
      <w:start w:val="1"/>
      <w:numFmt w:val="bullet"/>
      <w:lvlText w:val="●"/>
      <w:lvlJc w:val="left"/>
      <w:pPr>
        <w:ind w:left="5040" w:hanging="360"/>
      </w:pPr>
    </w:lvl>
    <w:lvl w:ilvl="7" w:tplc="8D3A9048">
      <w:start w:val="1"/>
      <w:numFmt w:val="bullet"/>
      <w:lvlText w:val="●"/>
      <w:lvlJc w:val="left"/>
      <w:pPr>
        <w:ind w:left="5760" w:hanging="360"/>
      </w:pPr>
    </w:lvl>
    <w:lvl w:ilvl="8" w:tplc="9774C7E4">
      <w:start w:val="1"/>
      <w:numFmt w:val="bullet"/>
      <w:lvlText w:val="●"/>
      <w:lvlJc w:val="left"/>
      <w:pPr>
        <w:ind w:left="6480" w:hanging="360"/>
      </w:pPr>
    </w:lvl>
  </w:abstractNum>
  <w:num w:numId="1" w16cid:durableId="1270889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2436"/>
    <w:rsid w:val="00452060"/>
    <w:rsid w:val="009F1C12"/>
    <w:rsid w:val="00A32436"/>
    <w:rsid w:val="00BA4909"/>
    <w:rsid w:val="00BB76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F10163"/>
  <w15:docId w15:val="{CEB2CA47-4534-4F6E-BC94-45C26CDDB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2937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rFonts w:ascii="Cambria" w:eastAsia="Cambria" w:hAnsi="Cambria" w:cs="Cambria"/>
      <w:b/>
      <w:bCs/>
      <w:color w:val="1B3A5C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rFonts w:ascii="Cambria" w:eastAsia="Cambria" w:hAnsi="Cambria" w:cs="Cambria"/>
      <w:b/>
      <w:bCs/>
      <w:color w:val="1B3A5C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rFonts w:ascii="Cambria" w:eastAsia="Cambria" w:hAnsi="Cambria" w:cs="Cambria"/>
      <w:b/>
      <w:bCs/>
      <w:color w:val="8C6A1F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45206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52060"/>
    <w:pPr>
      <w:spacing w:after="100"/>
      <w:ind w:left="220"/>
    </w:pPr>
  </w:style>
  <w:style w:type="paragraph" w:styleId="Header">
    <w:name w:val="header"/>
    <w:basedOn w:val="Normal"/>
    <w:link w:val="HeaderChar"/>
    <w:uiPriority w:val="99"/>
    <w:unhideWhenUsed/>
    <w:rsid w:val="00452060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52060"/>
  </w:style>
  <w:style w:type="paragraph" w:styleId="Footer">
    <w:name w:val="footer"/>
    <w:basedOn w:val="Normal"/>
    <w:link w:val="FooterChar"/>
    <w:uiPriority w:val="99"/>
    <w:unhideWhenUsed/>
    <w:rsid w:val="00452060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5206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17</Pages>
  <Words>2510</Words>
  <Characters>14310</Characters>
  <Application>Microsoft Office Word</Application>
  <DocSecurity>0</DocSecurity>
  <Lines>119</Lines>
  <Paragraphs>33</Paragraphs>
  <ScaleCrop>false</ScaleCrop>
  <Company/>
  <LinksUpToDate>false</LinksUpToDate>
  <CharactersWithSpaces>16787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Master Document</dc:title>
  <dc:creator>DharaAI Project</dc:creator>
  <cp:lastModifiedBy>ッ Om</cp:lastModifiedBy>
  <cp:revision>3</cp:revision>
  <dcterms:created xsi:type="dcterms:W3CDTF">2026-07-26T17:56:00Z</dcterms:created>
  <dcterms:modified xsi:type="dcterms:W3CDTF">2026-07-30T14:07:00Z</dcterms:modified>
</cp:coreProperties>
</file>