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646464"/>
          <w:sz w:val="24"/>
        </w:rPr>
        <w:t>K.J. SOMAIYA SCHOOL OF ENGINEERING</w:t>
        <w:br/>
        <w:t>SOMAIYA VIDYAVIHAR UNIVERSITY, MUMBAI</w:t>
      </w:r>
    </w:p>
    <w:p>
      <w:pPr>
        <w:spacing w:after="240"/>
      </w:pPr>
      <w:r>
        <w:rPr>
          <w:rFonts w:ascii="Arial" w:hAnsi="Arial"/>
          <w:color w:val="787878"/>
          <w:sz w:val="20"/>
        </w:rPr>
        <w:t>Digital Forensics &amp; Cyber Security Laboratory (Capstone Evaluation — 20 Marks)</w:t>
        <w:br/>
        <w:t>Academic Year 2026–2027 | Class: TY B.Tech Computer Engineering | Group 10</w:t>
      </w:r>
    </w:p>
    <w:p>
      <w:pPr>
        <w:pStyle w:val="Heading1"/>
        <w:spacing w:after="280"/>
      </w:pPr>
      <w:r>
        <w:rPr>
          <w:rFonts w:ascii="Arial" w:hAnsi="Arial"/>
          <w:b/>
          <w:color w:val="003366"/>
          <w:sz w:val="36"/>
        </w:rPr>
        <w:t>SUNBURST FORENSICS &amp; STATUTORY AUDIT: END-TO-END SPEAKING SCRIPT</w:t>
      </w:r>
    </w:p>
    <w:tbl>
      <w:tblPr>
        <w:tblW w:type="auto" w:w="0"/>
        <w:jc w:val="center"/>
        <w:tblLayout w:type="fixed"/>
        <w:tblLook w:firstColumn="1" w:firstRow="1" w:lastColumn="0" w:lastRow="0" w:noHBand="0" w:noVBand="1" w:val="04A0"/>
      </w:tblPr>
      <w:tblGrid>
        <w:gridCol w:w="9936"/>
      </w:tblGrid>
      <w:tr>
        <w:tc>
          <w:tcPr>
            <w:tcW w:type="dxa" w:w="9360"/>
            <w:shd w:val="clear" w:color="auto" w:fill="F0F4F8"/>
            <w:tcMar>
              <w:top w:w="140" w:type="dxa"/>
              <w:bottom w:w="140" w:type="dxa"/>
              <w:left w:w="200" w:type="dxa"/>
              <w:right w:w="200" w:type="dxa"/>
            </w:tcMar>
          </w:tcPr>
          <w:p>
            <w:pPr>
              <w:spacing w:before="40" w:after="80"/>
            </w:pPr>
            <w:r>
              <w:rPr>
                <w:rFonts w:ascii="Arial" w:hAnsi="Arial"/>
                <w:b/>
                <w:color w:val="003366"/>
                <w:sz w:val="22"/>
              </w:rPr>
              <w:t>📌 DEMO TIMING &amp; STRATEGY SUMMARY</w:t>
              <w:br/>
            </w:r>
            <w:r>
              <w:rPr>
                <w:rFonts w:ascii="Arial" w:hAnsi="Arial"/>
                <w:color w:val="323232"/>
                <w:sz w:val="20"/>
              </w:rPr>
              <w:t>Total Target Duration: 8 to 9 Minutes (~2.5 to 3 minutes per speaker).</w:t>
              <w:br/>
              <w:t>• Part 1: Avantdeep (0:00 – 2:45) — Intro, Attack Vector, Evidence Hash Check, DiE PE Triage.</w:t>
              <w:br/>
              <w:t>• Part 2: Omik (2:45 – 5:45) — String Deobfuscation (Deflate), FNV-1a Process Blacklist, CAPA.</w:t>
              <w:br/>
              <w:t>• Part 3: Om (5:45 – 8:30) — Indian Cyber Law, Section 63 BSA 2023 Certificate, Pytest CI Run.</w:t>
            </w:r>
          </w:p>
        </w:tc>
      </w:tr>
    </w:tbl>
    <w:p>
      <w:pPr>
        <w:spacing w:after="120"/>
      </w:pPr>
    </w:p>
    <w:p>
      <w:pPr>
        <w:pStyle w:val="Heading2"/>
      </w:pPr>
      <w:r>
        <w:t>Team Member Roster &amp; Responsibilities</w:t>
      </w:r>
    </w:p>
    <w:tbl>
      <w:tblPr>
        <w:tblW w:type="auto" w:w="0"/>
        <w:jc w:val="center"/>
        <w:tblLook w:firstColumn="1" w:firstRow="1" w:lastColumn="0" w:lastRow="0" w:noHBand="0" w:noVBand="1" w:val="04A0"/>
      </w:tblPr>
      <w:tblGrid>
        <w:gridCol w:w="2484"/>
        <w:gridCol w:w="2484"/>
        <w:gridCol w:w="2484"/>
        <w:gridCol w:w="2484"/>
      </w:tblGrid>
      <w:tr>
        <w:tc>
          <w:tcPr>
            <w:tcW w:type="dxa" w:w="2160"/>
            <w:shd w:val="clear" w:color="auto" w:fill="003366"/>
            <w:tcMar>
              <w:top w:w="120" w:type="dxa"/>
              <w:bottom w:w="120" w:type="dxa"/>
              <w:left w:w="120" w:type="dxa"/>
              <w:right w:w="120" w:type="dxa"/>
            </w:tcMar>
          </w:tcPr>
          <w:p>
            <w:pPr>
              <w:jc w:val="left"/>
            </w:pPr>
            <w:r>
              <w:rPr>
                <w:rFonts w:ascii="Arial" w:hAnsi="Arial"/>
                <w:b/>
                <w:color w:val="FFFFFF"/>
                <w:sz w:val="20"/>
              </w:rPr>
              <w:t>Speaker Name</w:t>
            </w:r>
          </w:p>
        </w:tc>
        <w:tc>
          <w:tcPr>
            <w:tcW w:type="dxa" w:w="1728"/>
            <w:shd w:val="clear" w:color="auto" w:fill="003366"/>
            <w:tcMar>
              <w:top w:w="120" w:type="dxa"/>
              <w:bottom w:w="120" w:type="dxa"/>
              <w:left w:w="120" w:type="dxa"/>
              <w:right w:w="120" w:type="dxa"/>
            </w:tcMar>
          </w:tcPr>
          <w:p>
            <w:pPr>
              <w:jc w:val="left"/>
            </w:pPr>
            <w:r>
              <w:rPr>
                <w:rFonts w:ascii="Arial" w:hAnsi="Arial"/>
                <w:b/>
                <w:color w:val="FFFFFF"/>
                <w:sz w:val="20"/>
              </w:rPr>
              <w:t>Roll Number</w:t>
            </w:r>
          </w:p>
        </w:tc>
        <w:tc>
          <w:tcPr>
            <w:tcW w:type="dxa" w:w="3168"/>
            <w:shd w:val="clear" w:color="auto" w:fill="003366"/>
            <w:tcMar>
              <w:top w:w="120" w:type="dxa"/>
              <w:bottom w:w="120" w:type="dxa"/>
              <w:left w:w="120" w:type="dxa"/>
              <w:right w:w="120" w:type="dxa"/>
            </w:tcMar>
          </w:tcPr>
          <w:p>
            <w:pPr>
              <w:jc w:val="left"/>
            </w:pPr>
            <w:r>
              <w:rPr>
                <w:rFonts w:ascii="Arial" w:hAnsi="Arial"/>
                <w:b/>
                <w:color w:val="FFFFFF"/>
                <w:sz w:val="20"/>
              </w:rPr>
              <w:t>Forensic Specialization</w:t>
            </w:r>
          </w:p>
        </w:tc>
        <w:tc>
          <w:tcPr>
            <w:tcW w:type="dxa" w:w="2304"/>
            <w:shd w:val="clear" w:color="auto" w:fill="003366"/>
            <w:tcMar>
              <w:top w:w="120" w:type="dxa"/>
              <w:bottom w:w="120" w:type="dxa"/>
              <w:left w:w="120" w:type="dxa"/>
              <w:right w:w="120" w:type="dxa"/>
            </w:tcMar>
          </w:tcPr>
          <w:p>
            <w:pPr>
              <w:jc w:val="left"/>
            </w:pPr>
            <w:r>
              <w:rPr>
                <w:rFonts w:ascii="Arial" w:hAnsi="Arial"/>
                <w:b/>
                <w:color w:val="FFFFFF"/>
                <w:sz w:val="20"/>
              </w:rPr>
              <w:t>Assigned Speaking Time</w:t>
            </w:r>
          </w:p>
        </w:tc>
      </w:tr>
      <w:tr>
        <w:tc>
          <w:tcPr>
            <w:tcW w:type="dxa" w:w="2160"/>
            <w:tcMar>
              <w:top w:w="80" w:type="dxa"/>
              <w:bottom w:w="80" w:type="dxa"/>
              <w:left w:w="100" w:type="dxa"/>
              <w:right w:w="100" w:type="dxa"/>
            </w:tcMar>
          </w:tcPr>
          <w:p>
            <w:r>
              <w:rPr>
                <w:rFonts w:ascii="Arial" w:hAnsi="Arial"/>
                <w:sz w:val="19"/>
              </w:rPr>
              <w:t>Avantdeep (Amandeep)</w:t>
            </w:r>
          </w:p>
        </w:tc>
        <w:tc>
          <w:tcPr>
            <w:tcW w:type="dxa" w:w="1728"/>
            <w:tcMar>
              <w:top w:w="80" w:type="dxa"/>
              <w:bottom w:w="80" w:type="dxa"/>
              <w:left w:w="100" w:type="dxa"/>
              <w:right w:w="100" w:type="dxa"/>
            </w:tcMar>
          </w:tcPr>
          <w:p>
            <w:r>
              <w:rPr>
                <w:rFonts w:ascii="Arial" w:hAnsi="Arial"/>
                <w:sz w:val="19"/>
              </w:rPr>
              <w:t>16010123036</w:t>
            </w:r>
          </w:p>
        </w:tc>
        <w:tc>
          <w:tcPr>
            <w:tcW w:type="dxa" w:w="3168"/>
            <w:tcMar>
              <w:top w:w="80" w:type="dxa"/>
              <w:bottom w:w="80" w:type="dxa"/>
              <w:left w:w="100" w:type="dxa"/>
              <w:right w:w="100" w:type="dxa"/>
            </w:tcMar>
          </w:tcPr>
          <w:p>
            <w:r>
              <w:rPr>
                <w:rFonts w:ascii="Arial" w:hAnsi="Arial"/>
                <w:sz w:val="19"/>
              </w:rPr>
              <w:t>Lead Investigator: PE Triage &amp; Hash Baseline</w:t>
            </w:r>
          </w:p>
        </w:tc>
        <w:tc>
          <w:tcPr>
            <w:tcW w:type="dxa" w:w="2304"/>
            <w:tcMar>
              <w:top w:w="80" w:type="dxa"/>
              <w:bottom w:w="80" w:type="dxa"/>
              <w:left w:w="100" w:type="dxa"/>
              <w:right w:w="100" w:type="dxa"/>
            </w:tcMar>
          </w:tcPr>
          <w:p>
            <w:r>
              <w:rPr>
                <w:rFonts w:ascii="Arial" w:hAnsi="Arial"/>
                <w:sz w:val="19"/>
              </w:rPr>
              <w:t>0:00 – 2:45 (~2.5 min)</w:t>
            </w:r>
          </w:p>
        </w:tc>
      </w:tr>
      <w:tr>
        <w:tc>
          <w:tcPr>
            <w:tcW w:type="dxa" w:w="2160"/>
            <w:tcMar>
              <w:top w:w="80" w:type="dxa"/>
              <w:bottom w:w="80" w:type="dxa"/>
              <w:left w:w="100" w:type="dxa"/>
              <w:right w:w="100" w:type="dxa"/>
            </w:tcMar>
          </w:tcPr>
          <w:p>
            <w:r>
              <w:rPr>
                <w:rFonts w:ascii="Arial" w:hAnsi="Arial"/>
                <w:sz w:val="19"/>
              </w:rPr>
              <w:t>Omik Acharya</w:t>
            </w:r>
          </w:p>
        </w:tc>
        <w:tc>
          <w:tcPr>
            <w:tcW w:type="dxa" w:w="1728"/>
            <w:tcMar>
              <w:top w:w="80" w:type="dxa"/>
              <w:bottom w:w="80" w:type="dxa"/>
              <w:left w:w="100" w:type="dxa"/>
              <w:right w:w="100" w:type="dxa"/>
            </w:tcMar>
          </w:tcPr>
          <w:p>
            <w:r>
              <w:rPr>
                <w:rFonts w:ascii="Arial" w:hAnsi="Arial"/>
                <w:sz w:val="19"/>
              </w:rPr>
              <w:t>16010123218</w:t>
            </w:r>
          </w:p>
        </w:tc>
        <w:tc>
          <w:tcPr>
            <w:tcW w:type="dxa" w:w="3168"/>
            <w:tcMar>
              <w:top w:w="80" w:type="dxa"/>
              <w:bottom w:w="80" w:type="dxa"/>
              <w:left w:w="100" w:type="dxa"/>
              <w:right w:w="100" w:type="dxa"/>
            </w:tcMar>
          </w:tcPr>
          <w:p>
            <w:r>
              <w:rPr>
                <w:rFonts w:ascii="Arial" w:hAnsi="Arial"/>
                <w:sz w:val="19"/>
              </w:rPr>
              <w:t>Reverse Engineer: FLOSS &amp; CAPA Attribution</w:t>
            </w:r>
          </w:p>
        </w:tc>
        <w:tc>
          <w:tcPr>
            <w:tcW w:type="dxa" w:w="2304"/>
            <w:tcMar>
              <w:top w:w="80" w:type="dxa"/>
              <w:bottom w:w="80" w:type="dxa"/>
              <w:left w:w="100" w:type="dxa"/>
              <w:right w:w="100" w:type="dxa"/>
            </w:tcMar>
          </w:tcPr>
          <w:p>
            <w:r>
              <w:rPr>
                <w:rFonts w:ascii="Arial" w:hAnsi="Arial"/>
                <w:sz w:val="19"/>
              </w:rPr>
              <w:t>2:45 – 5:45 (~3.0 min)</w:t>
            </w:r>
          </w:p>
        </w:tc>
      </w:tr>
      <w:tr>
        <w:tc>
          <w:tcPr>
            <w:tcW w:type="dxa" w:w="2160"/>
            <w:tcMar>
              <w:top w:w="80" w:type="dxa"/>
              <w:bottom w:w="80" w:type="dxa"/>
              <w:left w:w="100" w:type="dxa"/>
              <w:right w:w="100" w:type="dxa"/>
            </w:tcMar>
          </w:tcPr>
          <w:p>
            <w:r>
              <w:rPr>
                <w:rFonts w:ascii="Arial" w:hAnsi="Arial"/>
                <w:sz w:val="19"/>
              </w:rPr>
              <w:t>Om Lanke</w:t>
            </w:r>
          </w:p>
        </w:tc>
        <w:tc>
          <w:tcPr>
            <w:tcW w:type="dxa" w:w="1728"/>
            <w:tcMar>
              <w:top w:w="80" w:type="dxa"/>
              <w:bottom w:w="80" w:type="dxa"/>
              <w:left w:w="100" w:type="dxa"/>
              <w:right w:w="100" w:type="dxa"/>
            </w:tcMar>
          </w:tcPr>
          <w:p>
            <w:r>
              <w:rPr>
                <w:rFonts w:ascii="Arial" w:hAnsi="Arial"/>
                <w:sz w:val="19"/>
              </w:rPr>
              <w:t>16010123216</w:t>
            </w:r>
          </w:p>
        </w:tc>
        <w:tc>
          <w:tcPr>
            <w:tcW w:type="dxa" w:w="3168"/>
            <w:tcMar>
              <w:top w:w="80" w:type="dxa"/>
              <w:bottom w:w="80" w:type="dxa"/>
              <w:left w:w="100" w:type="dxa"/>
              <w:right w:w="100" w:type="dxa"/>
            </w:tcMar>
          </w:tcPr>
          <w:p>
            <w:r>
              <w:rPr>
                <w:rFonts w:ascii="Arial" w:hAnsi="Arial"/>
                <w:sz w:val="19"/>
              </w:rPr>
              <w:t>Cyber Legal Auditor: IT Act &amp; BSA 2023</w:t>
            </w:r>
          </w:p>
        </w:tc>
        <w:tc>
          <w:tcPr>
            <w:tcW w:type="dxa" w:w="2304"/>
            <w:tcMar>
              <w:top w:w="80" w:type="dxa"/>
              <w:bottom w:w="80" w:type="dxa"/>
              <w:left w:w="100" w:type="dxa"/>
              <w:right w:w="100" w:type="dxa"/>
            </w:tcMar>
          </w:tcPr>
          <w:p>
            <w:r>
              <w:rPr>
                <w:rFonts w:ascii="Arial" w:hAnsi="Arial"/>
                <w:sz w:val="19"/>
              </w:rPr>
              <w:t>5:45 – 8:30 (~2.5 min)</w:t>
            </w:r>
          </w:p>
        </w:tc>
      </w:tr>
    </w:tbl>
    <w:p>
      <w:pPr>
        <w:spacing w:after="240"/>
      </w:pPr>
    </w:p>
    <w:p>
      <w:pPr>
        <w:pStyle w:val="Heading2"/>
      </w:pPr>
      <w:r>
        <w:t>PART 1: AVANTDEEP (0:00 – 2:45)</w:t>
      </w:r>
    </w:p>
    <w:p>
      <w:r>
        <w:rPr>
          <w:b/>
        </w:rPr>
        <w:t>Role: Lead Investigator | Focus: Case Overview, Supply Chain Attack Vector, Cryptographic Hashing, DiE PE Triage</w:t>
      </w:r>
    </w:p>
    <w:p>
      <w:pPr>
        <w:spacing w:after="160"/>
      </w:pPr>
      <w:r>
        <w:rPr>
          <w:b/>
        </w:rPr>
        <w:t>🎬 SCREEN ACTIONS FOR AVANTDEEP:</w:t>
        <w:br/>
      </w:r>
      <w:r>
        <w:t>1. Start screen recording with Chrome showing 'docs/sunburst_simulation.html' (Stage 1: The Attack).</w:t>
        <w:br/>
        <w:t>2. Switch to Terminal and run: 'bash scripts/verify_hashes.sh'. Show the green integrity output.</w:t>
        <w:br/>
        <w:t>3. Switch back to Chrome and click 'Stage 4: Detect It Easy'. Point out the PE section map and entropy curve.</w:t>
      </w:r>
    </w:p>
    <w:p>
      <w:pPr>
        <w:pStyle w:val="Heading3"/>
      </w:pPr>
      <w:r>
        <w:t>Exact Word-for-Word Speaking Script:</w:t>
      </w:r>
    </w:p>
    <w:p>
      <w:pPr>
        <w:spacing w:line="300" w:lineRule="auto"/>
      </w:pPr>
      <w:r>
        <w:t>“Good morning respected evaluators and professors. We are Group 10 from the Department of Computer Engineering, KJ Somaiya School of Engineering. Our capstone digital forensics project is the Static Forensic Analysis and Legal Compliance Audit of the SolarWinds SUNBURST Malware.</w:t>
        <w:br/>
        <w:br/>
        <w:t>I am Avantdeep, Lead Investigator. My teammates are Omik Acharya, who handled Reverse Engineering and Deobfuscation, and Om Lanke, who handled Cyber Legal Compliance and Indian Statutory Admissibility.</w:t>
        <w:br/>
        <w:br/>
        <w:t>[Action: Show Stage 1 in Browser]</w:t>
        <w:br/>
        <w:t>The SolarWinds intrusion in 2020 was a landmark software supply chain attack. Attackers from state-sponsored group UNC2452 — attributed to Russia's Foreign Intelligence Service (SVR) — did not break into customer perimeters directly. Instead, they compromised SolarWinds' internal build environment, deploying an in-memory injector called SUNSPOT. When the automated MSBuild compiler executed, it swapped in a malicious C# source file, trojanizing the core library: SolarWinds.Orion.Core.BusinessLayer.dll.</w:t>
        <w:br/>
        <w:br/>
        <w:t>Because this occurred inside the official build system, the trojanized DLL received a genuine, valid Authenticode digital signature from DigiCert. Over 18,000 corporate, defense, and government organizations deployed this update willingly because it looked completely legitimate.</w:t>
        <w:br/>
        <w:br/>
        <w:t>[Action: Switch to Terminal and run: bash scripts/verify_hashes.sh]</w:t>
        <w:br/>
        <w:t>In digital forensics, rule number one is: never execute live malware, and strictly maintain the chain of custody. As you can see on the terminal, our verification script computes the cryptographic hash of our evidence artifact under ISO/IEC 27037 standards. The SHA-256 digest ending in '...7a4d73' matches the official CISA and FireEye threat advisories bit-for-bit. Integrity is mathematically verified.</w:t>
        <w:br/>
        <w:br/>
        <w:t>[Action: Switch to Browser, click Stage 4: Detect It Easy]</w:t>
        <w:br/>
        <w:t>Next, we performed PE Header Triage using Detect It Easy (DiE v3.10). Notice three critical findings on screen:</w:t>
        <w:br/>
        <w:t>First, it is a 32-bit PE dynamic link library for Intel 80386 running the .NET CLR v4.0.30319, compiled with Microsoft Roslyn C#.</w:t>
        <w:br/>
        <w:t>Second, look at the entropy curve: it stays at 6.21 across the code section, strictly below the 7.5 packed threshold. The attackers deliberately did not pack the binary with UPX or Themida so it would not trigger heuristic antivirus flags.</w:t>
        <w:br/>
        <w:t>Third, it bears a valid Authenticode digital signature issued to SolarWinds Worldwide, LLC. This is classic Subversion of Trust Controls (T1553.002).</w:t>
        <w:br/>
        <w:br/>
        <w:t>I now hand over to Omik to demonstrate how we cracked their obfuscated strings and defense evasion.”</w:t>
      </w:r>
    </w:p>
    <w:p>
      <w:r>
        <w:br w:type="page"/>
      </w:r>
    </w:p>
    <w:p>
      <w:pPr>
        <w:pStyle w:val="Heading2"/>
      </w:pPr>
      <w:r>
        <w:t>PART 2: OMIK ACHARYA (2:45 – 5:45)</w:t>
      </w:r>
    </w:p>
    <w:p>
      <w:r>
        <w:rPr>
          <w:b/>
        </w:rPr>
        <w:t>Role: Reverse Engineer | Focus: String Deobfuscation (Deflate), FNV-1a Hashed Blacklist, CAPA MITRE ATT&amp;CK Mapping</w:t>
      </w:r>
    </w:p>
    <w:p>
      <w:pPr>
        <w:spacing w:after="160"/>
      </w:pPr>
      <w:r>
        <w:rPr>
          <w:b/>
        </w:rPr>
        <w:t>🎬 SCREEN ACTIONS FOR OMIK:</w:t>
        <w:br/>
      </w:r>
      <w:r>
        <w:t>1. Browser: Go to 'Stage 5: FLOSS strings' $</w:t>
        <w:br/>
        <w:t>ightarrow$ click the 'Decode all' button live.</w:t>
        <w:br/>
        <w:t>2. Browser: Go to 'Stage 6: Hidden blocklist' $</w:t>
        <w:br/>
        <w:t>ightarrow$ type/click 'wireshark' $</w:t>
        <w:br/>
        <w:t>ightarrow$ click 'Run the check'.</w:t>
        <w:br/>
        <w:t>3. Switch to Terminal $</w:t>
        <w:br/>
        <w:t>ightarrow$ run:</w:t>
        <w:br/>
        <w:t xml:space="preserve">   floss --version</w:t>
        <w:br/>
        <w:t xml:space="preserve">   capa --version</w:t>
        <w:br/>
        <w:t xml:space="preserve">   python3 scripts/run_forensics.py --check-process wireshark</w:t>
        <w:br/>
        <w:t xml:space="preserve">   python3 scripts/run_forensics.py --simulate --simulate-behavior victim</w:t>
        <w:br/>
        <w:t>4. Browser: Show 'Stage 7: CAPA capabilities' and 'Stage 8: Behaviour simulation'.</w:t>
      </w:r>
    </w:p>
    <w:p>
      <w:pPr>
        <w:pStyle w:val="Heading3"/>
      </w:pPr>
      <w:r>
        <w:t>Exact Word-for-Word Speaking Script:</w:t>
      </w:r>
    </w:p>
    <w:p>
      <w:pPr>
        <w:spacing w:line="300" w:lineRule="auto"/>
      </w:pPr>
      <w:r>
        <w:t>“Thank you, Avantdeep. I am Omik Acharya, and my focus was reverse engineering the backdoor's internal evasion routines and command channels.</w:t>
        <w:br/>
        <w:br/>
        <w:t>[Action: In Terminal, run 'floss --version', then switch to Browser Stage 5]</w:t>
        <w:br/>
        <w:t>When we ran Mandiant FLOSS (v3.1.1), it extracted 2,146 static strings, highlighting suspicious internal classes like OrionImprovementBusinessLayer and DeflateStream. However, the attackers protected their critical network and registry strings using a two-tier scheme: raw Deflate compression over Base64-encoded strings.</w:t>
        <w:br/>
        <w:br/>
        <w:t>[Action: Click 'Decode all' button in the browser]</w:t>
        <w:br/>
        <w:t>As you see live on screen, our deobfuscation engine inflates these strings in real time:</w:t>
        <w:br/>
        <w:t>• The first token decodes directly to the primary C2 domain: avsvmcloud.com.</w:t>
        <w:br/>
        <w:t>• The subsequent tokens reveal registry fingerprint paths like SOFTWARE\Microsoft\Cryptography, the MachineGuid key, and WMI queries used to profile the victim host.</w:t>
        <w:br/>
        <w:br/>
        <w:t>[Action: In Browser, click Stage 6: Hidden blocklist]</w:t>
        <w:br/>
        <w:t>Next, how did SUNBURST evade security software? If the backdoor contained plaintext strings like 'wireshark' or 'procmon', antivirus signatures would catch it immediately. Instead, the attackers converted process names to lowercase, calculated their 64-bit FNV-1a hash, and XORed the value with the secret constant 0x5BAC903BA7D81967.</w:t>
        <w:br/>
        <w:br/>
        <w:t>[Action: In Stage 6 input box, click 'wireshark' and click 'Run the check']</w:t>
        <w:br/>
        <w:t>Look at the pipeline: 'wireshark' is hashed to 0xa84ff6500970f54d, XORed, and matches the hardcoded table. If Wireshark, Sysmon, or x64dbg is running, the backdoor terminates immediately without beaconing.</w:t>
        <w:br/>
        <w:br/>
        <w:t>[Action: Switch to Terminal and run: python3 scripts/run_forensics.py --check-process wireshark]</w:t>
        <w:br/>
        <w:t>Our CLI tool verifies this mathematical check in milliseconds, outputting the exact decimal value 17574002783607647274.</w:t>
        <w:br/>
        <w:br/>
        <w:t>[Action: In Terminal, run: python3 scripts/run_forensics.py --simulate --simulate-behavior victim]</w:t>
        <w:br/>
        <w:t>Using Mandiant CAPA (v9.4.0), we mapped the binary's capabilities directly to MITRE ATT&amp;CK:</w:t>
        <w:br/>
        <w:t>• T1497.003: A hardcoded Thread.Sleep delay of 288 hours — 12 to 14 full days — to outlast dynamic analysis sandboxes.</w:t>
        <w:br/>
        <w:t>• T1071.004: Covert DNS tunneling exfiltrating host GUIDs via subdomains of avsvmcloud.com.</w:t>
        <w:br/>
        <w:t>• T1562.001: Impairing defensive tools.</w:t>
        <w:br/>
        <w:br/>
        <w:t>[Action: Switch to Browser Stage 8: Behaviour simulation]</w:t>
        <w:br/>
        <w:t>We reconstructed the full 8-step execution gate: on an analyst machine with Wireshark, it terminates at Step 4; on an offline machine, it terminates at Step 5. Only on a genuine enterprise server does it proceed to open the HTTP command channel.</w:t>
        <w:br/>
        <w:br/>
        <w:t>I now invite Om Lanke to explain our Indian cyber legal audit and court admissibility certification.”</w:t>
      </w:r>
    </w:p>
    <w:p>
      <w:r>
        <w:br w:type="page"/>
      </w:r>
    </w:p>
    <w:p>
      <w:pPr>
        <w:pStyle w:val="Heading2"/>
      </w:pPr>
      <w:r>
        <w:t>PART 3: OM LANKE (5:45 – 8:30)</w:t>
      </w:r>
    </w:p>
    <w:p>
      <w:r>
        <w:rPr>
          <w:b/>
        </w:rPr>
        <w:t>Role: Cyber Legal Auditor | Focus: IT Act 2000, CERT-In Directions 2022, Section 63 BSA 2023, BNSS 2023, Pytest CI Run</w:t>
      </w:r>
    </w:p>
    <w:p>
      <w:pPr>
        <w:spacing w:after="160"/>
      </w:pPr>
      <w:r>
        <w:rPr>
          <w:b/>
        </w:rPr>
        <w:t>🎬 SCREEN ACTIONS FOR OM:</w:t>
        <w:br/>
      </w:r>
      <w:r>
        <w:t>1. Browser: Show 'Stage 10: Indian law mapping'. Click through the finding buttons to show statutory provisions lighting up.</w:t>
        <w:br/>
        <w:t>2. Switch to Terminal $</w:t>
        <w:br/>
        <w:t>ightarrow$ run:</w:t>
        <w:br/>
        <w:t xml:space="preserve">   python3 scripts/generate_bsa_cert.py --format both</w:t>
        <w:br/>
        <w:t>3. Open and display 'legal_compliance/Section_63_BSA_Certificate.md' in VS Code/Terminal.</w:t>
        <w:br/>
        <w:t>4. Switch to Terminal $</w:t>
        <w:br/>
        <w:t>ightarrow$ run:</w:t>
        <w:br/>
        <w:t xml:space="preserve">   pytest tests/ -v</w:t>
        <w:br/>
        <w:t>5. Conclude and state opening for questions.</w:t>
      </w:r>
    </w:p>
    <w:p>
      <w:pPr>
        <w:pStyle w:val="Heading3"/>
      </w:pPr>
      <w:r>
        <w:t>Exact Word-for-Word Speaking Script:</w:t>
      </w:r>
    </w:p>
    <w:p>
      <w:pPr>
        <w:spacing w:line="300" w:lineRule="auto"/>
      </w:pPr>
      <w:r>
        <w:t>“Thank you, Omik. I am Om Lanke, Cyber Legal Auditor for Group 10.</w:t>
        <w:br/>
        <w:br/>
        <w:t>A forensic investigation is incomplete without establishing legal culpability and statutory admissibility under Indian law.</w:t>
        <w:br/>
        <w:br/>
        <w:t>[Action: In Browser, show Stage 10: Indian law mapping]</w:t>
        <w:br/>
        <w:t>We mapped the technical findings against five core Indian legal frameworks:</w:t>
        <w:br/>
        <w:t>1. Information Technology Act, 2000:</w:t>
        <w:br/>
        <w:t xml:space="preserve">   • Sections 43 &amp; 66: Introducing a computer contaminant and criminal hacking, carrying civil compensation and up to 3 years imprisonment.</w:t>
        <w:br/>
        <w:t xml:space="preserve">   • Section 66F (Cyber Terrorism): SUNBURST targeted government ministries and critical infrastructure. Under Section 66F(1)(B), introducing malicious code intending to threaten national sovereignty or disrupt essential infrastructure carries a mandatory penalty of Imprisonment for Life.</w:t>
        <w:br/>
        <w:t xml:space="preserve">   • Section 70: Unauthorized access to declared Protected Systems (up to 10 years imprisonment).</w:t>
        <w:br/>
        <w:t xml:space="preserve">   • Section 43A: Companies that deployed unverified vendor updates without vendor risk assessments face uncapped civil liability for negligence.</w:t>
        <w:br/>
        <w:br/>
        <w:t>2. CERT-In Directions (28 April 2022):</w:t>
        <w:br/>
        <w:t xml:space="preserve">   • Mandates reporting supply chain intrusions to CERT-In within 6 hours of discovery.</w:t>
        <w:br/>
        <w:t xml:space="preserve">   • Mandates secure log retention for 180 days within Indian jurisdiction.</w:t>
        <w:br/>
        <w:br/>
        <w:t>3. Digital Personal Data Protection (DPDP) Act, 2023: Mandatory breach notifications to the Data Protection Board of India.</w:t>
        <w:br/>
        <w:br/>
        <w:t>[Action: Switch to Terminal and run: python3 scripts/generate_bsa_cert.py --format both]</w:t>
        <w:br/>
        <w:t>Now, how is this digital evidence admitted in an Indian court? With the repeal of the Indian Evidence Act, 1872, the old Section 65B certificate is legally obsolete. Today, electronic records must be certified under Section 63 of the Bharatiya Sakshya Adhiniyam (BSA), 2023.</w:t>
        <w:br/>
        <w:br/>
        <w:t>[Action: Open legal_compliance/Section_63_BSA_Certificate.md in Editor]</w:t>
        <w:br/>
        <w:t>Our automation script generates this court-ready affidavit under Section 63(4)(c) of the BSA 2023 and Section 105 of the Bharatiya Nagarik Suraksha Sanhita (BNSS), 2023:</w:t>
        <w:br/>
        <w:t>• Part A (Custodian Affirmation): Executed by Avantdeep, certifying workstation MAC address, hardware write-blocking, and continuous custody.</w:t>
        <w:br/>
        <w:t>• Part B (Forensic Expert Certificate): Executed jointly by Omik and myself, certifying cryptographic hash equality under NIST FIPS 180-4 and deterministic tool validation. This renders our findings substantive primary evidence in judicial proceedings.</w:t>
        <w:br/>
        <w:br/>
        <w:t>[Action: Switch to Terminal and run: pytest tests/ -v]</w:t>
        <w:br/>
        <w:t>Finally, to guarantee enterprise software quality, we implemented a continuous integration test suite running on uv. All 22 automated tests pass in under 0.3 seconds, proving our cryptographic hashing, Deflate decompression, FNV blocklist, and legal templates are 100% verified.</w:t>
        <w:br/>
        <w:br/>
        <w:t>In conclusion, Group 10 has demonstrated a complete, static, non-destructive autopsy of a nation-state supply chain intrusion, backed by mathematical proof and full statutory admissibility under the new BSA 2023.</w:t>
        <w:br/>
        <w:br/>
        <w:t>Thank you professors. We are now open for your questions.”</w:t>
      </w:r>
    </w:p>
    <w:p>
      <w:r>
        <w:br w:type="page"/>
      </w:r>
    </w:p>
    <w:p>
      <w:pPr>
        <w:pStyle w:val="Heading2"/>
      </w:pPr>
      <w:r>
        <w:t>EVALUATOR Q&amp;A CHEAT-SHEET (Top 5 Questions &amp; Bulletproof Answers)</w:t>
      </w:r>
    </w:p>
    <w:p>
      <w:pPr>
        <w:spacing w:after="160"/>
      </w:pPr>
      <w:r>
        <w:rPr>
          <w:b/>
          <w:color w:val="003366"/>
        </w:rPr>
        <w:t>Q1: Why did you not execute the malware in a dynamic sandbox?</w:t>
        <w:br/>
      </w:r>
      <w:r>
        <w:rPr>
          <w:sz w:val="20"/>
        </w:rPr>
        <w:t>Answer: SUNBURST has a built-in 12 to 14 day dormancy timer (T1497.003) and checks for sandbox hooks. A standard 5-minute sandbox detonation shows zero malicious activity. Static analysis using DiE, FLOSS, and CAPA allowed us to reverse-engineer 100% of the malware's logic safely without risking host infection or C2 network leakage.</w:t>
      </w:r>
    </w:p>
    <w:p>
      <w:pPr>
        <w:spacing w:after="160"/>
      </w:pPr>
      <w:r>
        <w:rPr>
          <w:b/>
          <w:color w:val="003366"/>
        </w:rPr>
        <w:t>Q2: What is the exact difference between Section 65B (IEA 1872) and Section 63 (BSA 2023)?</w:t>
        <w:br/>
      </w:r>
      <w:r>
        <w:rPr>
          <w:sz w:val="20"/>
        </w:rPr>
        <w:t>Answer: The Bharatiya Sakshya Adhiniyam 2023 repealed the Indian Evidence Act 1872. Section 63 BSA modernizes electronic evidence admissibility. It introduces explicit statutory recognition for distributed storage and mandates a clear dual-certification structure: Part A by the Custodian proving lawful management and operational integrity, and Part B by the Technical Expert certifying cryptographic hash matching and zero tampering.</w:t>
      </w:r>
    </w:p>
    <w:p>
      <w:pPr>
        <w:spacing w:after="160"/>
      </w:pPr>
      <w:r>
        <w:rPr>
          <w:b/>
          <w:color w:val="003366"/>
        </w:rPr>
        <w:t>Q3: Why did the attackers XOR the FNV-1a hash with 0x5BAC903BA7D81967?</w:t>
        <w:br/>
      </w:r>
      <w:r>
        <w:rPr>
          <w:sz w:val="20"/>
        </w:rPr>
        <w:t>Answer: Plain FNV-1a hashes can be reversed using precomputed rainbow tables. XORing the 64-bit digest with a hardcoded constant added an extra layer of cryptographic obfuscation, preventing security researchers from identifying the targeted security tools without decompiling the specific DLL routine.</w:t>
      </w:r>
    </w:p>
    <w:p>
      <w:pPr>
        <w:spacing w:after="160"/>
      </w:pPr>
      <w:r>
        <w:rPr>
          <w:b/>
          <w:color w:val="003366"/>
        </w:rPr>
        <w:t>Q4: How did the malware achieve persistence without setting normal Run keys?</w:t>
        <w:br/>
      </w:r>
      <w:r>
        <w:rPr>
          <w:sz w:val="20"/>
        </w:rPr>
        <w:t>Answer: SUNBURST achieved persistence via DLL component hijacking (T1574.002). Because it was embedded inside the core SolarWinds Orion Business Layer DLL, it executed automatically every time the legitimate Windows service 'SolarWinds.BusinessLayerHost.exe' started, without needing unusual registry Run keys.</w:t>
      </w:r>
    </w:p>
    <w:p>
      <w:pPr>
        <w:spacing w:after="160"/>
      </w:pPr>
      <w:r>
        <w:rPr>
          <w:b/>
          <w:color w:val="003366"/>
        </w:rPr>
        <w:t>Q5: What are the mandatory reporting deadlines under CERT-In Directions 2022?</w:t>
        <w:br/>
      </w:r>
      <w:r>
        <w:rPr>
          <w:sz w:val="20"/>
        </w:rPr>
        <w:t>Answer: Under Direction 5(i) of the 28 April 2022 Directions, any supply chain or critical system compromise must be reported to CERT-In within 6 hours of detection. Under Direction 5(v), all system and network logs must be maintained within Indian jurisdiction for 180 days.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