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-1202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  <w:tblStyle w:val="707"/>
      </w:tblPr>
      <w:tblGrid>
        <w:gridCol w:w="10879"/>
      </w:tblGrid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t xml:space="preserve">Студент: Пантюхин А.Е., группа: ДТ-460а</w:t>
            </w:r>
            <w:r/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t xml:space="preserve">Лабораторная работа №1</w:t>
            </w:r>
            <w:r/>
          </w:p>
        </w:tc>
      </w:tr>
      <w:tr>
        <w:trPr/>
        <w:tc>
          <w:tcPr>
            <w:tcBorders>
              <w:bottom w:val="none" w:color="000000" w:sz="4" w:space="0"/>
            </w:tcBorders>
            <w:tcW w:w="10879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t xml:space="preserve">Задание:</w:t>
            </w:r>
            <w:r/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t xml:space="preserve">Дано n различных символов. Напечатать все возможные перестановки этих символов.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879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t xml:space="preserve">Тестовые данные:</w:t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1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123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1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323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1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4Eaf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1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</w:tcBorders>
            <w:tcW w:w="10879" w:type="dxa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t xml:space="preserve">Словесное описание этапов решения задачи рекурсивным способом:</w:t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Функция принимает на вход два указателя, при первом вызове – одинаковых</w:t>
            </w:r>
            <w:r>
              <w:rPr>
                <w:highlight w:val="none"/>
              </w:rPr>
            </w:r>
            <w:r/>
          </w:p>
          <w:p>
            <w:pPr>
              <w:pStyle w:val="896"/>
              <w:numPr>
                <w:ilvl w:val="0"/>
                <w:numId w:val="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Если входные данные не ведут на строки – выход</w:t>
            </w:r>
            <w:r>
              <w:rPr>
                <w:highlight w:val="none"/>
              </w:rPr>
            </w:r>
            <w:r/>
          </w:p>
          <w:p>
            <w:pPr>
              <w:pStyle w:val="896"/>
              <w:numPr>
                <w:ilvl w:val="0"/>
                <w:numId w:val="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Первый указатель всегда обозначает начало строки, второй – текущий зафиксированный элемент</w:t>
            </w:r>
            <w:r>
              <w:rPr>
                <w:highlight w:val="none"/>
              </w:rPr>
            </w:r>
            <w:r/>
          </w:p>
          <w:p>
            <w:pPr>
              <w:pStyle w:val="896"/>
              <w:numPr>
                <w:ilvl w:val="0"/>
                <w:numId w:val="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Если зафиксированный элемент – конец строки, то вывести строку</w:t>
            </w:r>
            <w:r>
              <w:rPr>
                <w:highlight w:val="none"/>
              </w:rPr>
            </w:r>
            <w:r/>
          </w:p>
          <w:p>
            <w:pPr>
              <w:pStyle w:val="896"/>
              <w:numPr>
                <w:ilvl w:val="0"/>
                <w:numId w:val="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Иначе, начать движение по строке от зафиксированного указателя вправо</w:t>
            </w:r>
            <w:r>
              <w:rPr>
                <w:highlight w:val="none"/>
              </w:rPr>
            </w:r>
            <w:r/>
          </w:p>
          <w:p>
            <w:pPr>
              <w:pStyle w:val="896"/>
              <w:numPr>
                <w:ilvl w:val="0"/>
                <w:numId w:val="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В цикле (пока не дошли до конца строки)</w:t>
            </w:r>
            <w:r>
              <w:rPr>
                <w:highlight w:val="none"/>
              </w:rPr>
            </w:r>
            <w:r/>
          </w:p>
          <w:p>
            <w:pPr>
              <w:pStyle w:val="896"/>
              <w:numPr>
                <w:ilvl w:val="0"/>
                <w:numId w:val="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Меняем местами текущий элемент с текущим зафиксированным</w:t>
            </w:r>
            <w:r>
              <w:rPr>
                <w:highlight w:val="none"/>
              </w:rPr>
            </w:r>
            <w:r/>
          </w:p>
          <w:p>
            <w:pPr>
              <w:pStyle w:val="896"/>
              <w:numPr>
                <w:ilvl w:val="0"/>
                <w:numId w:val="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Рекурсивный вызов функции, зафиксированный элемент – следующий от текущего зафиксированного</w:t>
            </w:r>
            <w:r>
              <w:rPr>
                <w:highlight w:val="none"/>
              </w:rPr>
            </w:r>
            <w:r/>
          </w:p>
          <w:p>
            <w:pPr>
              <w:pStyle w:val="896"/>
              <w:numPr>
                <w:ilvl w:val="0"/>
                <w:numId w:val="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Обратно меняем местами значения зафиксированного и текущего элемента</w:t>
            </w:r>
            <w:r>
              <w:rPr>
                <w:highlight w:val="none"/>
              </w:rPr>
            </w:r>
            <w:r/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/>
            <w:r/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 чём смысл: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3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Поочерёдно фиксируется каждый из элементов строки (рекурсивные вызовы)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3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Поочерёдно меняется каждый из элементов с зафиксированным(внутри цикла)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3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Таким образом, в рамках вызовов, сначала выведется неизменённая строка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3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Потом строка с перестановкой последних двух элементов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3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Далее третий с конца элемент поменяется местами со вторым с конца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3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Аналогично, строка с перестановкой последних двух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6"/>
              <w:numPr>
                <w:ilvl w:val="0"/>
                <w:numId w:val="3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И так далее.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/>
      </w:pPr>
      <w:r>
        <w:br w:type="page" w:clear="all"/>
      </w:r>
      <w:r/>
    </w:p>
    <w:tbl>
      <w:tblPr>
        <w:tblInd w:w="-1168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  <w:tblStyle w:val="707"/>
      </w:tblPr>
      <w:tblGrid>
        <w:gridCol w:w="1087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879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highlight w:val="none"/>
              </w:rPr>
            </w:pPr>
            <w:r>
              <w:t xml:space="preserve">Блок-схема алгоритма рекурсивной функции:</w:t>
            </w:r>
            <w:r>
              <w:rPr>
                <w:highlight w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558040" cy="903911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522003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558039" cy="90391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437.64pt;height:711.74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10879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  <w:t xml:space="preserve">Текст программы с комментариями:</w:t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&lt;stdio.h&gt;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&lt;locale.h&gt;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//вспомогательная функция смены значений местами.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swap_values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ptr2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buff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ptr2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ptr2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buff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//вывод перестановок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//source - указатель на начало строки, всегда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//locked_ptr - указатель на "зафиксированный" элемент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print_permutations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source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move_ptr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//указатель на адрес, начиная от текущего зафиксированного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//если на входе что-то не так - вернём ошибку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source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||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//если служебный указатель дошёл до конца строки - выведем итоговую строку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%s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source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//начиная с позиции служебного указателя(при первом вызове - 0, далее - по элементам строки)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//пока строка не кончилась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move_ptr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{   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//поменяем местами значения по указателям (при первом вызове ничего не изменится)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swap_values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move_ptr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//рекурсивный вызов со сдвигом постоянной позиции на 1 (позиции "зафиксированного" элемента)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print_permutations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source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+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//поменяем местами обратно для следующего вызова.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swap_values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move_ptr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//движемся по строке далее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move_ptr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++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main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() 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setlocale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LC_ALL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"Russian"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 BUFSIZ - директива препроцессора из библиотеки stdio, определяющая размер буфера потока.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]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"Введите символы, не более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: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scanf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%s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//или fgets(user_input, BUFSIZ-1, stdin);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print_permutations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2"/>
    <w:next w:val="892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2"/>
    <w:next w:val="892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2"/>
    <w:next w:val="892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2"/>
    <w:next w:val="892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2"/>
    <w:next w:val="892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2"/>
    <w:next w:val="892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2"/>
    <w:next w:val="892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2"/>
    <w:next w:val="892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2"/>
    <w:next w:val="892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2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2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2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1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2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3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4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5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6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7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8">
    <w:name w:val="toc 9"/>
    <w:basedOn w:val="892"/>
    <w:next w:val="892"/>
    <w:uiPriority w:val="39"/>
    <w:unhideWhenUsed/>
    <w:pPr>
      <w:pBdr/>
      <w:spacing w:after="100"/>
      <w:ind w:left="1760"/>
    </w:pPr>
  </w:style>
  <w:style w:type="character" w:styleId="889">
    <w:name w:val="Placeholder Text"/>
    <w:basedOn w:val="842"/>
    <w:uiPriority w:val="99"/>
    <w:semiHidden/>
    <w:pPr>
      <w:pBdr/>
      <w:spacing/>
      <w:ind/>
    </w:pPr>
    <w:rPr>
      <w:color w:val="666666"/>
    </w:r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2025-06-23T21:27:14Z</dcterms:modified>
</cp:coreProperties>
</file>