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Earthquake Alert Prediction System</w:t>
      </w:r>
    </w:p>
    <w:p>
      <w:pPr>
        <w:pStyle w:val="Heading1"/>
      </w:pPr>
      <w:r>
        <w:t>Project Documentation</w:t>
      </w:r>
    </w:p>
    <w:p>
      <w:r>
        <w:t>---</w:t>
      </w:r>
    </w:p>
    <w:p>
      <w:pPr>
        <w:pStyle w:val="Heading2"/>
      </w:pPr>
      <w:r>
        <w:t>1. Overview</w:t>
      </w:r>
    </w:p>
    <w:p>
      <w:r>
        <w:t>This project implements a machine learning pipeline to classify earthquake events into alert levels (green, orange, red, yellow) based on seismic parameters. The analysis compares three classification algorithms to determine the most effective model for earthquake alert prediction.</w:t>
      </w:r>
    </w:p>
    <w:p>
      <w:pPr>
        <w:pStyle w:val="Heading2"/>
      </w:pPr>
      <w:r>
        <w:t>2. Dataset Information</w:t>
      </w:r>
    </w:p>
    <w:tbl>
      <w:tblPr>
        <w:tblStyle w:val="TableGrid"/>
        <w:tblW w:type="auto" w:w="0"/>
        <w:tblLook w:firstColumn="1" w:firstRow="1" w:lastColumn="0" w:lastRow="0" w:noHBand="0" w:noVBand="1" w:val="04A0"/>
      </w:tblPr>
      <w:tblGrid>
        <w:gridCol w:w="4320"/>
        <w:gridCol w:w="4320"/>
      </w:tblGrid>
      <w:tr>
        <w:tc>
          <w:tcPr>
            <w:tcW w:type="dxa" w:w="4320"/>
          </w:tcPr>
          <w:p>
            <w:r>
              <w:t>Property</w:t>
            </w:r>
          </w:p>
        </w:tc>
        <w:tc>
          <w:tcPr>
            <w:tcW w:type="dxa" w:w="4320"/>
          </w:tcPr>
          <w:p>
            <w:r>
              <w:t>Value</w:t>
            </w:r>
          </w:p>
        </w:tc>
      </w:tr>
      <w:tr>
        <w:tc>
          <w:tcPr>
            <w:tcW w:type="dxa" w:w="4320"/>
          </w:tcPr>
          <w:p>
            <w:r>
              <w:t>File Name</w:t>
            </w:r>
          </w:p>
        </w:tc>
        <w:tc>
          <w:tcPr>
            <w:tcW w:type="dxa" w:w="4320"/>
          </w:tcPr>
          <w:p>
            <w:r>
              <w:t>earthquake_alert_balanced_dataset.csv</w:t>
            </w:r>
          </w:p>
        </w:tc>
      </w:tr>
      <w:tr>
        <w:tc>
          <w:tcPr>
            <w:tcW w:type="dxa" w:w="4320"/>
          </w:tcPr>
          <w:p>
            <w:r>
              <w:t>Total Samples</w:t>
            </w:r>
          </w:p>
        </w:tc>
        <w:tc>
          <w:tcPr>
            <w:tcW w:type="dxa" w:w="4320"/>
          </w:tcPr>
          <w:p>
            <w:r>
              <w:t>1,300</w:t>
            </w:r>
          </w:p>
        </w:tc>
      </w:tr>
      <w:tr>
        <w:tc>
          <w:tcPr>
            <w:tcW w:type="dxa" w:w="4320"/>
          </w:tcPr>
          <w:p>
            <w:r>
              <w:t>Training Set</w:t>
            </w:r>
          </w:p>
        </w:tc>
        <w:tc>
          <w:tcPr>
            <w:tcW w:type="dxa" w:w="4320"/>
          </w:tcPr>
          <w:p>
            <w:r>
              <w:t>80% (1,040 samples)</w:t>
            </w:r>
          </w:p>
        </w:tc>
      </w:tr>
      <w:tr>
        <w:tc>
          <w:tcPr>
            <w:tcW w:type="dxa" w:w="4320"/>
          </w:tcPr>
          <w:p>
            <w:r>
              <w:t>Testing Set</w:t>
            </w:r>
          </w:p>
        </w:tc>
        <w:tc>
          <w:tcPr>
            <w:tcW w:type="dxa" w:w="4320"/>
          </w:tcPr>
          <w:p>
            <w:r>
              <w:t>20% (260 samples)</w:t>
            </w:r>
          </w:p>
        </w:tc>
      </w:tr>
      <w:tr>
        <w:tc>
          <w:tcPr>
            <w:tcW w:type="dxa" w:w="4320"/>
          </w:tcPr>
          <w:p>
            <w:r>
              <w:t>Features</w:t>
            </w:r>
          </w:p>
        </w:tc>
        <w:tc>
          <w:tcPr>
            <w:tcW w:type="dxa" w:w="4320"/>
          </w:tcPr>
          <w:p>
            <w:r>
              <w:t>5</w:t>
            </w:r>
          </w:p>
        </w:tc>
      </w:tr>
    </w:tbl>
    <w:p>
      <w:pPr>
        <w:pStyle w:val="Heading2"/>
      </w:pPr>
      <w:r>
        <w:t>5. Results &amp; Analysis</w:t>
      </w:r>
    </w:p>
    <w:p>
      <w:r>
        <w:t>Model Comparison (Test Set: 260 samples):</w:t>
      </w:r>
    </w:p>
    <w:tbl>
      <w:tblPr>
        <w:tblStyle w:val="TableGrid"/>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Accuracy</w:t>
            </w:r>
          </w:p>
        </w:tc>
        <w:tc>
          <w:tcPr>
            <w:tcW w:type="dxa" w:w="2880"/>
          </w:tcPr>
          <w:p>
            <w:r>
              <w:t>Best Performing Class</w:t>
            </w:r>
          </w:p>
        </w:tc>
      </w:tr>
      <w:tr>
        <w:tc>
          <w:tcPr>
            <w:tcW w:type="dxa" w:w="2880"/>
          </w:tcPr>
          <w:p>
            <w:r>
              <w:t>KNN ⭐</w:t>
            </w:r>
          </w:p>
        </w:tc>
        <w:tc>
          <w:tcPr>
            <w:tcW w:type="dxa" w:w="2880"/>
          </w:tcPr>
          <w:p>
            <w:r>
              <w:t>80%</w:t>
            </w:r>
          </w:p>
        </w:tc>
        <w:tc>
          <w:tcPr>
            <w:tcW w:type="dxa" w:w="2880"/>
          </w:tcPr>
          <w:p>
            <w:r>
              <w:t>Red (F1: 0.87)</w:t>
            </w:r>
          </w:p>
        </w:tc>
      </w:tr>
      <w:tr>
        <w:tc>
          <w:tcPr>
            <w:tcW w:type="dxa" w:w="2880"/>
          </w:tcPr>
          <w:p>
            <w:r>
              <w:t>Naive Bayes</w:t>
            </w:r>
          </w:p>
        </w:tc>
        <w:tc>
          <w:tcPr>
            <w:tcW w:type="dxa" w:w="2880"/>
          </w:tcPr>
          <w:p>
            <w:r>
              <w:t>67%</w:t>
            </w:r>
          </w:p>
        </w:tc>
        <w:tc>
          <w:tcPr>
            <w:tcW w:type="dxa" w:w="2880"/>
          </w:tcPr>
          <w:p>
            <w:r>
              <w:t>Green (F1: 0.78)</w:t>
            </w:r>
          </w:p>
        </w:tc>
      </w:tr>
      <w:tr>
        <w:tc>
          <w:tcPr>
            <w:tcW w:type="dxa" w:w="2880"/>
          </w:tcPr>
          <w:p>
            <w:r>
              <w:t>SVM</w:t>
            </w:r>
          </w:p>
        </w:tc>
        <w:tc>
          <w:tcPr>
            <w:tcW w:type="dxa" w:w="2880"/>
          </w:tcPr>
          <w:p>
            <w:r>
              <w:t>55%</w:t>
            </w:r>
          </w:p>
        </w:tc>
        <w:tc>
          <w:tcPr>
            <w:tcW w:type="dxa" w:w="2880"/>
          </w:tcPr>
          <w:p>
            <w:r>
              <w:t>Red (F1: 0.68)</w:t>
            </w:r>
          </w:p>
        </w:tc>
      </w:tr>
    </w:tbl>
    <w:p>
      <w:pPr>
        <w:pStyle w:val="Heading3"/>
      </w:pPr>
      <w:r>
        <w:t>Key Observations</w:t>
      </w:r>
    </w:p>
    <w:p>
      <w:r>
        <w:t>✅ KNN achieved the highest accuracy (80%) with balanced performance.</w:t>
      </w:r>
    </w:p>
    <w:p>
      <w:r>
        <w:t>✅ Red alerts were predicted with highest recall (93%) – critical for safety.</w:t>
      </w:r>
    </w:p>
    <w:p>
      <w:pPr>
        <w:pStyle w:val="Heading2"/>
      </w:pPr>
      <w:r>
        <w:t>⚠️ Important Disclaimer</w:t>
      </w:r>
    </w:p>
    <w:p>
      <w:r>
        <w:t>This model is for educational purposes only. Do NOT use for actual earthquake early warning without rigorous validation and approval from relevant authorities.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