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3A8A"/>
          <w:sz w:val="48"/>
        </w:rPr>
        <w:t>EstateIQ Pro — Complete Project Master Guide</w:t>
        <w:br/>
        <w:t>&amp; 100 Interview Questions</w:t>
      </w:r>
    </w:p>
    <w:p>
      <w:pPr>
        <w:spacing w:after="360"/>
      </w:pPr>
      <w:r>
        <w:rPr>
          <w:rFonts w:ascii="Calibri" w:hAnsi="Calibri"/>
          <w:i/>
          <w:color w:val="718096"/>
          <w:sz w:val="24"/>
        </w:rPr>
        <w:t>Industry-Grade House Price Prediction &amp; Explainable AI Platform | King County, WA</w:t>
      </w:r>
    </w:p>
    <w:p>
      <w:pPr>
        <w:pStyle w:val="Heading1"/>
        <w:spacing w:before="280" w:after="120"/>
      </w:pPr>
      <w:r>
        <w:rPr>
          <w:rFonts w:ascii="Calibri" w:hAnsi="Calibri"/>
          <w:b/>
          <w:color w:val="1E3A8A"/>
          <w:sz w:val="36"/>
        </w:rPr>
        <w:t>1. Executive Summary &amp; Architecture</w:t>
      </w:r>
    </w:p>
    <w:p>
      <w:pPr>
        <w:spacing w:after="200"/>
      </w:pPr>
      <w:r>
        <w:t>EstateIQ Pro is an end-to-end Machine Learning property valuation platform. Using 21,420 real estate sales from King County, WA, the system automates residential appraisal through a leak-free scikit-learn preprocessing pipeline, multi-model benchmarking, and Optuna Bayesian hyperparameter optimization on LightGBM. The model achieves an R² of 0.9017 and a MAPE of 11.60%, and is served via an interactive Streamlit dashboard with real-time SHAP explainability and report export.</w:t>
      </w:r>
    </w:p>
    <w:p>
      <w:pPr>
        <w:pStyle w:val="Heading1"/>
        <w:spacing w:before="280" w:after="120"/>
      </w:pPr>
      <w:r>
        <w:rPr>
          <w:rFonts w:ascii="Calibri" w:hAnsi="Calibri"/>
          <w:b/>
          <w:color w:val="1E3A8A"/>
          <w:sz w:val="36"/>
        </w:rPr>
        <w:t>2. Model Benchmarking Summary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rFonts w:ascii="Calibri" w:hAnsi="Calibri"/>
                <w:b/>
                <w:color w:val="FFFFFF"/>
                <w:sz w:val="20"/>
              </w:rPr>
              <w:t>Algorithm</w:t>
            </w:r>
          </w:p>
        </w:tc>
        <w:tc>
          <w:tcPr>
            <w:tcW w:type="dxa" w:w="1872"/>
            <w:shd w:fill="1E3A8A"/>
          </w:tcPr>
          <w:p>
            <w:r>
              <w:rPr>
                <w:rFonts w:ascii="Calibri" w:hAnsi="Calibri"/>
                <w:b/>
                <w:color w:val="FFFFFF"/>
                <w:sz w:val="20"/>
              </w:rPr>
              <w:t>Holdout R²</w:t>
            </w:r>
          </w:p>
        </w:tc>
        <w:tc>
          <w:tcPr>
            <w:tcW w:type="dxa" w:w="1872"/>
            <w:shd w:fill="1E3A8A"/>
          </w:tcPr>
          <w:p>
            <w:r>
              <w:rPr>
                <w:rFonts w:ascii="Calibri" w:hAnsi="Calibri"/>
                <w:b/>
                <w:color w:val="FFFFFF"/>
                <w:sz w:val="20"/>
              </w:rPr>
              <w:t>Holdout MAPE</w:t>
            </w:r>
          </w:p>
        </w:tc>
        <w:tc>
          <w:tcPr>
            <w:tcW w:type="dxa" w:w="1872"/>
            <w:shd w:fill="1E3A8A"/>
          </w:tcPr>
          <w:p>
            <w:r>
              <w:rPr>
                <w:rFonts w:ascii="Calibri" w:hAnsi="Calibri"/>
                <w:b/>
                <w:color w:val="FFFFFF"/>
                <w:sz w:val="20"/>
              </w:rPr>
              <w:t>Holdout MAE</w:t>
            </w:r>
          </w:p>
        </w:tc>
        <w:tc>
          <w:tcPr>
            <w:tcW w:type="dxa" w:w="1872"/>
            <w:shd w:fill="1E3A8A"/>
          </w:tcPr>
          <w:p>
            <w:r>
              <w:rPr>
                <w:rFonts w:ascii="Calibri" w:hAnsi="Calibri"/>
                <w:b/>
                <w:color w:val="FFFFFF"/>
                <w:sz w:val="20"/>
              </w:rPr>
              <w:t>Holdout RMSE</w:t>
            </w:r>
          </w:p>
        </w:tc>
      </w:tr>
      <w:tr>
        <w:tc>
          <w:tcPr>
            <w:tcW w:type="dxa" w:w="1872"/>
            <w:shd w:fill="FFFFFF"/>
          </w:tcPr>
          <w:p>
            <w:r>
              <w:rPr>
                <w:rFonts w:ascii="Calibri" w:hAnsi="Calibri"/>
                <w:sz w:val="19"/>
              </w:rPr>
              <w:t>Ridge Regression (Baseline)</w:t>
            </w:r>
          </w:p>
        </w:tc>
        <w:tc>
          <w:tcPr>
            <w:tcW w:type="dxa" w:w="1872"/>
            <w:shd w:fill="FFFFFF"/>
          </w:tcPr>
          <w:p>
            <w:r>
              <w:rPr>
                <w:rFonts w:ascii="Calibri" w:hAnsi="Calibri"/>
                <w:sz w:val="19"/>
              </w:rPr>
              <w:t>0.8632</w:t>
            </w:r>
          </w:p>
        </w:tc>
        <w:tc>
          <w:tcPr>
            <w:tcW w:type="dxa" w:w="1872"/>
            <w:shd w:fill="FFFFFF"/>
          </w:tcPr>
          <w:p>
            <w:r>
              <w:rPr>
                <w:rFonts w:ascii="Calibri" w:hAnsi="Calibri"/>
                <w:sz w:val="19"/>
              </w:rPr>
              <w:t>13.45%</w:t>
            </w:r>
          </w:p>
        </w:tc>
        <w:tc>
          <w:tcPr>
            <w:tcW w:type="dxa" w:w="1872"/>
            <w:shd w:fill="FFFFFF"/>
          </w:tcPr>
          <w:p>
            <w:r>
              <w:rPr>
                <w:rFonts w:ascii="Calibri" w:hAnsi="Calibri"/>
                <w:sz w:val="19"/>
              </w:rPr>
              <w:t>$72,384</w:t>
            </w:r>
          </w:p>
        </w:tc>
        <w:tc>
          <w:tcPr>
            <w:tcW w:type="dxa" w:w="1872"/>
            <w:shd w:fill="FFFFFF"/>
          </w:tcPr>
          <w:p>
            <w:r>
              <w:rPr>
                <w:rFonts w:ascii="Calibri" w:hAnsi="Calibri"/>
                <w:sz w:val="19"/>
              </w:rPr>
              <w:t>$124,190</w:t>
            </w:r>
          </w:p>
        </w:tc>
      </w:tr>
      <w:tr>
        <w:tc>
          <w:tcPr>
            <w:tcW w:type="dxa" w:w="1872"/>
            <w:shd w:fill="F7FAFC"/>
          </w:tcPr>
          <w:p>
            <w:r>
              <w:rPr>
                <w:rFonts w:ascii="Calibri" w:hAnsi="Calibri"/>
                <w:sz w:val="19"/>
              </w:rPr>
              <w:t>Random Forest Regressor</w:t>
            </w:r>
          </w:p>
        </w:tc>
        <w:tc>
          <w:tcPr>
            <w:tcW w:type="dxa" w:w="1872"/>
            <w:shd w:fill="F7FAFC"/>
          </w:tcPr>
          <w:p>
            <w:r>
              <w:rPr>
                <w:rFonts w:ascii="Calibri" w:hAnsi="Calibri"/>
                <w:sz w:val="19"/>
              </w:rPr>
              <w:t>0.8758</w:t>
            </w:r>
          </w:p>
        </w:tc>
        <w:tc>
          <w:tcPr>
            <w:tcW w:type="dxa" w:w="1872"/>
            <w:shd w:fill="F7FAFC"/>
          </w:tcPr>
          <w:p>
            <w:r>
              <w:rPr>
                <w:rFonts w:ascii="Calibri" w:hAnsi="Calibri"/>
                <w:sz w:val="19"/>
              </w:rPr>
              <w:t>12.42%</w:t>
            </w:r>
          </w:p>
        </w:tc>
        <w:tc>
          <w:tcPr>
            <w:tcW w:type="dxa" w:w="1872"/>
            <w:shd w:fill="F7FAFC"/>
          </w:tcPr>
          <w:p>
            <w:r>
              <w:rPr>
                <w:rFonts w:ascii="Calibri" w:hAnsi="Calibri"/>
                <w:sz w:val="19"/>
              </w:rPr>
              <w:t>$67,376</w:t>
            </w:r>
          </w:p>
        </w:tc>
        <w:tc>
          <w:tcPr>
            <w:tcW w:type="dxa" w:w="1872"/>
            <w:shd w:fill="F7FAFC"/>
          </w:tcPr>
          <w:p>
            <w:r>
              <w:rPr>
                <w:rFonts w:ascii="Calibri" w:hAnsi="Calibri"/>
                <w:sz w:val="19"/>
              </w:rPr>
              <w:t>$118,333</w:t>
            </w:r>
          </w:p>
        </w:tc>
      </w:tr>
      <w:tr>
        <w:tc>
          <w:tcPr>
            <w:tcW w:type="dxa" w:w="1872"/>
            <w:shd w:fill="FFFFFF"/>
          </w:tcPr>
          <w:p>
            <w:r>
              <w:rPr>
                <w:rFonts w:ascii="Calibri" w:hAnsi="Calibri"/>
                <w:sz w:val="19"/>
              </w:rPr>
              <w:t>XGBoost Regressor</w:t>
            </w:r>
          </w:p>
        </w:tc>
        <w:tc>
          <w:tcPr>
            <w:tcW w:type="dxa" w:w="1872"/>
            <w:shd w:fill="FFFFFF"/>
          </w:tcPr>
          <w:p>
            <w:r>
              <w:rPr>
                <w:rFonts w:ascii="Calibri" w:hAnsi="Calibri"/>
                <w:sz w:val="19"/>
              </w:rPr>
              <w:t>0.8925</w:t>
            </w:r>
          </w:p>
        </w:tc>
        <w:tc>
          <w:tcPr>
            <w:tcW w:type="dxa" w:w="1872"/>
            <w:shd w:fill="FFFFFF"/>
          </w:tcPr>
          <w:p>
            <w:r>
              <w:rPr>
                <w:rFonts w:ascii="Calibri" w:hAnsi="Calibri"/>
                <w:sz w:val="19"/>
              </w:rPr>
              <w:t>12.03%</w:t>
            </w:r>
          </w:p>
        </w:tc>
        <w:tc>
          <w:tcPr>
            <w:tcW w:type="dxa" w:w="1872"/>
            <w:shd w:fill="FFFFFF"/>
          </w:tcPr>
          <w:p>
            <w:r>
              <w:rPr>
                <w:rFonts w:ascii="Calibri" w:hAnsi="Calibri"/>
                <w:sz w:val="19"/>
              </w:rPr>
              <w:t>$64,046</w:t>
            </w:r>
          </w:p>
        </w:tc>
        <w:tc>
          <w:tcPr>
            <w:tcW w:type="dxa" w:w="1872"/>
            <w:shd w:fill="FFFFFF"/>
          </w:tcPr>
          <w:p>
            <w:r>
              <w:rPr>
                <w:rFonts w:ascii="Calibri" w:hAnsi="Calibri"/>
                <w:sz w:val="19"/>
              </w:rPr>
              <w:t>$110,087</w:t>
            </w:r>
          </w:p>
        </w:tc>
      </w:tr>
      <w:tr>
        <w:tc>
          <w:tcPr>
            <w:tcW w:type="dxa" w:w="1872"/>
            <w:shd w:fill="F7FAFC"/>
          </w:tcPr>
          <w:p>
            <w:r>
              <w:rPr>
                <w:rFonts w:ascii="Calibri" w:hAnsi="Calibri"/>
                <w:sz w:val="19"/>
              </w:rPr>
              <w:t>LightGBM (Default)</w:t>
            </w:r>
          </w:p>
        </w:tc>
        <w:tc>
          <w:tcPr>
            <w:tcW w:type="dxa" w:w="1872"/>
            <w:shd w:fill="F7FAFC"/>
          </w:tcPr>
          <w:p>
            <w:r>
              <w:rPr>
                <w:rFonts w:ascii="Calibri" w:hAnsi="Calibri"/>
                <w:sz w:val="19"/>
              </w:rPr>
              <w:t>0.8935</w:t>
            </w:r>
          </w:p>
        </w:tc>
        <w:tc>
          <w:tcPr>
            <w:tcW w:type="dxa" w:w="1872"/>
            <w:shd w:fill="F7FAFC"/>
          </w:tcPr>
          <w:p>
            <w:r>
              <w:rPr>
                <w:rFonts w:ascii="Calibri" w:hAnsi="Calibri"/>
                <w:sz w:val="19"/>
              </w:rPr>
              <w:t>11.94%</w:t>
            </w:r>
          </w:p>
        </w:tc>
        <w:tc>
          <w:tcPr>
            <w:tcW w:type="dxa" w:w="1872"/>
            <w:shd w:fill="F7FAFC"/>
          </w:tcPr>
          <w:p>
            <w:r>
              <w:rPr>
                <w:rFonts w:ascii="Calibri" w:hAnsi="Calibri"/>
                <w:sz w:val="19"/>
              </w:rPr>
              <w:t>$63,838</w:t>
            </w:r>
          </w:p>
        </w:tc>
        <w:tc>
          <w:tcPr>
            <w:tcW w:type="dxa" w:w="1872"/>
            <w:shd w:fill="F7FAFC"/>
          </w:tcPr>
          <w:p>
            <w:r>
              <w:rPr>
                <w:rFonts w:ascii="Calibri" w:hAnsi="Calibri"/>
                <w:sz w:val="19"/>
              </w:rPr>
              <w:t>$109,590</w:t>
            </w:r>
          </w:p>
        </w:tc>
      </w:tr>
      <w:tr>
        <w:tc>
          <w:tcPr>
            <w:tcW w:type="dxa" w:w="1872"/>
            <w:shd w:fill="EBF8FF"/>
          </w:tcPr>
          <w:p>
            <w:r>
              <w:rPr>
                <w:rFonts w:ascii="Calibri" w:hAnsi="Calibri"/>
                <w:b/>
                <w:color w:val="1E3A8A"/>
                <w:sz w:val="19"/>
              </w:rPr>
              <w:t>★ LightGBM (Optuna-Tuned Champion)</w:t>
            </w:r>
          </w:p>
        </w:tc>
        <w:tc>
          <w:tcPr>
            <w:tcW w:type="dxa" w:w="1872"/>
            <w:shd w:fill="EBF8FF"/>
          </w:tcPr>
          <w:p>
            <w:r>
              <w:rPr>
                <w:rFonts w:ascii="Calibri" w:hAnsi="Calibri"/>
                <w:b/>
                <w:color w:val="1E3A8A"/>
                <w:sz w:val="19"/>
              </w:rPr>
              <w:t>0.9017</w:t>
            </w:r>
          </w:p>
        </w:tc>
        <w:tc>
          <w:tcPr>
            <w:tcW w:type="dxa" w:w="1872"/>
            <w:shd w:fill="EBF8FF"/>
          </w:tcPr>
          <w:p>
            <w:r>
              <w:rPr>
                <w:rFonts w:ascii="Calibri" w:hAnsi="Calibri"/>
                <w:b/>
                <w:color w:val="1E3A8A"/>
                <w:sz w:val="19"/>
              </w:rPr>
              <w:t>11.60%</w:t>
            </w:r>
          </w:p>
        </w:tc>
        <w:tc>
          <w:tcPr>
            <w:tcW w:type="dxa" w:w="1872"/>
            <w:shd w:fill="EBF8FF"/>
          </w:tcPr>
          <w:p>
            <w:r>
              <w:rPr>
                <w:rFonts w:ascii="Calibri" w:hAnsi="Calibri"/>
                <w:b/>
                <w:color w:val="1E3A8A"/>
                <w:sz w:val="19"/>
              </w:rPr>
              <w:t>$61,293</w:t>
            </w:r>
          </w:p>
        </w:tc>
        <w:tc>
          <w:tcPr>
            <w:tcW w:type="dxa" w:w="1872"/>
            <w:shd w:fill="EBF8FF"/>
          </w:tcPr>
          <w:p>
            <w:r>
              <w:rPr>
                <w:rFonts w:ascii="Calibri" w:hAnsi="Calibri"/>
                <w:b/>
                <w:color w:val="1E3A8A"/>
                <w:sz w:val="19"/>
              </w:rPr>
              <w:t>$105,291</w:t>
            </w:r>
          </w:p>
        </w:tc>
      </w:tr>
    </w:tbl>
    <w:p>
      <w:pPr>
        <w:spacing w:after="280"/>
      </w:pPr>
    </w:p>
    <w:p>
      <w:pPr>
        <w:pStyle w:val="Heading1"/>
        <w:spacing w:before="280" w:after="120"/>
      </w:pPr>
      <w:r>
        <w:rPr>
          <w:rFonts w:ascii="Calibri" w:hAnsi="Calibri"/>
          <w:b/>
          <w:color w:val="1E3A8A"/>
          <w:sz w:val="36"/>
        </w:rPr>
        <w:t>3. 100 Complete Technical &amp; Interview Questions</w:t>
      </w:r>
    </w:p>
    <w:p>
      <w:pPr>
        <w:pStyle w:val="Heading2"/>
        <w:spacing w:before="280" w:after="120"/>
      </w:pPr>
      <w:r>
        <w:rPr>
          <w:rFonts w:ascii="Calibri" w:hAnsi="Calibri"/>
          <w:b/>
          <w:color w:val="2B6CB0"/>
          <w:sz w:val="28"/>
        </w:rPr>
        <w:t>Part 1: Business Problem, ROI &amp; Product Framing</w:t>
      </w:r>
    </w:p>
    <w:p>
      <w:pPr>
        <w:spacing w:before="160" w:after="40"/>
      </w:pPr>
      <w:r>
        <w:rPr>
          <w:rFonts w:ascii="Calibri" w:hAnsi="Calibri"/>
          <w:b/>
          <w:color w:val="1E3A8A"/>
          <w:sz w:val="22"/>
        </w:rPr>
        <w:t>Q1: What core business problem does EstateIQ Pro solve?</w:t>
      </w:r>
    </w:p>
    <w:p>
      <w:pPr>
        <w:spacing w:before="0" w:after="160"/>
      </w:pPr>
      <w:r>
        <w:rPr>
          <w:rFonts w:ascii="Calibri" w:hAnsi="Calibri"/>
          <w:color w:val="2D3748"/>
          <w:sz w:val="21"/>
        </w:rPr>
        <w:t>Answer: It automates first-pass property valuation. Manual appraisals take 3–7 business days, cost $400–$800, and suffer from broker subjectivity. EstateIQ Pro provides instantaneous, data-driven valuations with confidence intervals, reducing transaction cycle time and preventing mispricing.</w:t>
      </w:r>
    </w:p>
    <w:p>
      <w:pPr>
        <w:spacing w:before="160" w:after="40"/>
      </w:pPr>
      <w:r>
        <w:rPr>
          <w:rFonts w:ascii="Calibri" w:hAnsi="Calibri"/>
          <w:b/>
          <w:color w:val="1E3A8A"/>
          <w:sz w:val="22"/>
        </w:rPr>
        <w:t>Q2: What is the financial cost of a 7% mispricing error on a $500,000 property?</w:t>
      </w:r>
    </w:p>
    <w:p>
      <w:pPr>
        <w:spacing w:before="0" w:after="160"/>
      </w:pPr>
      <w:r>
        <w:rPr>
          <w:rFonts w:ascii="Calibri" w:hAnsi="Calibri"/>
          <w:color w:val="2D3748"/>
          <w:sz w:val="21"/>
        </w:rPr>
        <w:t>Answer: A 7% mispricing error represents $35,000. Overpricing causes properties to linger on market 30–90 days, incurring carrying costs (mortgage interest, property tax, utilities) and eventually forcing price cuts that close 5–10% below market value. Underpricing directly forfeits seller equity.</w:t>
      </w:r>
    </w:p>
    <w:p>
      <w:pPr>
        <w:spacing w:before="160" w:after="40"/>
      </w:pPr>
      <w:r>
        <w:rPr>
          <w:rFonts w:ascii="Calibri" w:hAnsi="Calibri"/>
          <w:b/>
          <w:color w:val="1E3A8A"/>
          <w:sz w:val="22"/>
        </w:rPr>
        <w:t>Q3: Why is MAPE the primary business metric instead of RMSE or R²?</w:t>
      </w:r>
    </w:p>
    <w:p>
      <w:pPr>
        <w:spacing w:before="0" w:after="160"/>
      </w:pPr>
      <w:r>
        <w:rPr>
          <w:rFonts w:ascii="Calibri" w:hAnsi="Calibri"/>
          <w:color w:val="2D3748"/>
          <w:sz w:val="21"/>
        </w:rPr>
        <w:t>Answer: MAPE (Mean Absolute Percentage Error) is scale-independent and directly interpretable for business stakeholders. A $20,000 error on a $200,000 starter home (10% error) is severe, whereas a $20,000 error on a $2,000,000 luxury estate (1% error) is negligible. Stakeholders understand 'the model is accurate within 11.6% across price tiers.'</w:t>
      </w:r>
    </w:p>
    <w:p>
      <w:pPr>
        <w:spacing w:before="160" w:after="40"/>
      </w:pPr>
      <w:r>
        <w:rPr>
          <w:rFonts w:ascii="Calibri" w:hAnsi="Calibri"/>
          <w:b/>
          <w:color w:val="1E3A8A"/>
          <w:sz w:val="22"/>
        </w:rPr>
        <w:t>Q4: When is MAE preferred over RMSE from a business communication standpoint?</w:t>
      </w:r>
    </w:p>
    <w:p>
      <w:pPr>
        <w:spacing w:before="0" w:after="160"/>
      </w:pPr>
      <w:r>
        <w:rPr>
          <w:rFonts w:ascii="Calibri" w:hAnsi="Calibri"/>
          <w:color w:val="2D3748"/>
          <w:sz w:val="21"/>
        </w:rPr>
        <w:t>Answer: MAE gives the concrete average dollar error (e.g., 'we are off by $61,293 on average'). RMSE penalizes large errors exponentially due to squaring, making it harder to explain directly to non-technical executives, though valuable internally for penalizing catastrophic outliers.</w:t>
      </w:r>
    </w:p>
    <w:p>
      <w:pPr>
        <w:spacing w:before="160" w:after="40"/>
      </w:pPr>
      <w:r>
        <w:rPr>
          <w:rFonts w:ascii="Calibri" w:hAnsi="Calibri"/>
          <w:b/>
          <w:color w:val="1E3A8A"/>
          <w:sz w:val="22"/>
        </w:rPr>
        <w:t>Q5: Who are the target personas for this product?</w:t>
      </w:r>
    </w:p>
    <w:p>
      <w:pPr>
        <w:spacing w:before="0" w:after="160"/>
      </w:pPr>
      <w:r>
        <w:rPr>
          <w:rFonts w:ascii="Calibri" w:hAnsi="Calibri"/>
          <w:color w:val="2D3748"/>
          <w:sz w:val="21"/>
        </w:rPr>
        <w:t>Answer: 1. Home Buyers: Independent reference price for negotiation sanity checks.</w:t>
        <w:br/>
        <w:t>2. Sellers / Agents: Competitive initial listing price determination.</w:t>
        <w:br/>
        <w:t>3. Real Estate Brokerages / iBuyers: Automated instant valuation across thousands of listings simultaneously.</w:t>
        <w:br/>
        <w:t>4. Lenders / Underwriters: Automated collateral sanity checks to flag fraudulent valuations.</w:t>
      </w:r>
    </w:p>
    <w:p>
      <w:pPr>
        <w:spacing w:before="160" w:after="40"/>
      </w:pPr>
      <w:r>
        <w:rPr>
          <w:rFonts w:ascii="Calibri" w:hAnsi="Calibri"/>
          <w:b/>
          <w:color w:val="1E3A8A"/>
          <w:sz w:val="22"/>
        </w:rPr>
        <w:t>Q6: How does EstateIQ Pro generate business ROI?</w:t>
      </w:r>
    </w:p>
    <w:p>
      <w:pPr>
        <w:spacing w:before="0" w:after="160"/>
      </w:pPr>
      <w:r>
        <w:rPr>
          <w:rFonts w:ascii="Calibri" w:hAnsi="Calibri"/>
          <w:color w:val="2D3748"/>
          <w:sz w:val="21"/>
        </w:rPr>
        <w:t>Answer: Deployment cost is nominal (cloud container/serverless hosting at ~$10–$50/month), while preventing even a single $20,000 mispricing across 1,000 brokerage listings yields an ROI exceeding 100x.</w:t>
      </w:r>
    </w:p>
    <w:p>
      <w:pPr>
        <w:spacing w:before="160" w:after="40"/>
      </w:pPr>
      <w:r>
        <w:rPr>
          <w:rFonts w:ascii="Calibri" w:hAnsi="Calibri"/>
          <w:b/>
          <w:color w:val="1E3A8A"/>
          <w:sz w:val="22"/>
        </w:rPr>
        <w:t>Q7: Why not just rely on average price per square foot for valuation?</w:t>
      </w:r>
    </w:p>
    <w:p>
      <w:pPr>
        <w:spacing w:before="0" w:after="160"/>
      </w:pPr>
      <w:r>
        <w:rPr>
          <w:rFonts w:ascii="Calibri" w:hAnsi="Calibri"/>
          <w:color w:val="2D3748"/>
          <w:sz w:val="21"/>
        </w:rPr>
        <w:t>Answer: Average $/sqft ignores construction grade, effective house age, view quality, waterfront access, topography, condition, and bathroom-to-bedroom layout quality. Two identical 2,000 sqft houses in the same zip code can differ in value by over $300,000 based on finishes and condition.</w:t>
      </w:r>
    </w:p>
    <w:p>
      <w:pPr>
        <w:spacing w:before="160" w:after="40"/>
      </w:pPr>
      <w:r>
        <w:rPr>
          <w:rFonts w:ascii="Calibri" w:hAnsi="Calibri"/>
          <w:b/>
          <w:color w:val="1E3A8A"/>
          <w:sz w:val="22"/>
        </w:rPr>
        <w:t>Q8: How does the model calculate its 'Confidence Score'?</w:t>
      </w:r>
    </w:p>
    <w:p>
      <w:pPr>
        <w:spacing w:before="0" w:after="160"/>
      </w:pPr>
      <w:r>
        <w:rPr>
          <w:rFonts w:ascii="Calibri" w:hAnsi="Calibri"/>
          <w:color w:val="2D3748"/>
          <w:sz w:val="21"/>
        </w:rPr>
        <w:t>Answer: The confidence score is derived from the model's empirical holdout residual distribution (11.6% MAPE margin). If the estimated 90% confidence interval width is narrow relative to predicted price, the confidence score approaches 95–100%. If feature combinations are atypical, the score scales downward.</w:t>
      </w:r>
    </w:p>
    <w:p>
      <w:pPr>
        <w:spacing w:before="160" w:after="40"/>
      </w:pPr>
      <w:r>
        <w:rPr>
          <w:rFonts w:ascii="Calibri" w:hAnsi="Calibri"/>
          <w:b/>
          <w:color w:val="1E3A8A"/>
          <w:sz w:val="22"/>
        </w:rPr>
        <w:t>Q9: What defines the 'Market Category' in the application?</w:t>
      </w:r>
    </w:p>
    <w:p>
      <w:pPr>
        <w:spacing w:before="0" w:after="160"/>
      </w:pPr>
      <w:r>
        <w:rPr>
          <w:rFonts w:ascii="Calibri" w:hAnsi="Calibri"/>
          <w:color w:val="2D3748"/>
          <w:sz w:val="21"/>
        </w:rPr>
        <w:t>Answer: The ratio between the model's predicted price per sqft and the historical median price per sqft of that exact zip code. A ratio &lt; 0.90 flags an Under-priced (High Value Opportunity), while a ratio &gt; 1.10 indicates a Premium / Above Market Average property.</w:t>
      </w:r>
    </w:p>
    <w:p>
      <w:pPr>
        <w:spacing w:before="160" w:after="40"/>
      </w:pPr>
      <w:r>
        <w:rPr>
          <w:rFonts w:ascii="Calibri" w:hAnsi="Calibri"/>
          <w:b/>
          <w:color w:val="1E3A8A"/>
          <w:sz w:val="22"/>
        </w:rPr>
        <w:t>Q10: How would a brokerage monetize this system as a B2B SaaS product?</w:t>
      </w:r>
    </w:p>
    <w:p>
      <w:pPr>
        <w:spacing w:before="0" w:after="160"/>
      </w:pPr>
      <w:r>
        <w:rPr>
          <w:rFonts w:ascii="Calibri" w:hAnsi="Calibri"/>
          <w:color w:val="2D3748"/>
          <w:sz w:val="21"/>
        </w:rPr>
        <w:t>Answer: By exposing the predictor as a REST API (e.g., FastAPI) charging on a tiered monthly subscription (e.g., $99/month for 500 calls, $499/month for unlimited batch valuation) with custom white-label PDF/HTML reports.</w:t>
      </w:r>
    </w:p>
    <w:p>
      <w:pPr>
        <w:spacing w:before="160" w:after="40"/>
      </w:pPr>
      <w:r>
        <w:rPr>
          <w:rFonts w:ascii="Calibri" w:hAnsi="Calibri"/>
          <w:b/>
          <w:color w:val="1E3A8A"/>
          <w:sz w:val="22"/>
        </w:rPr>
        <w:t>Q11: What is the risk of deploying an automated valuation model without human review?</w:t>
      </w:r>
    </w:p>
    <w:p>
      <w:pPr>
        <w:spacing w:before="0" w:after="160"/>
      </w:pPr>
      <w:r>
        <w:rPr>
          <w:rFonts w:ascii="Calibri" w:hAnsi="Calibri"/>
          <w:color w:val="2D3748"/>
          <w:sz w:val="21"/>
        </w:rPr>
        <w:t>Answer: Automated models cannot inspect non-quantified physical nuances like unpermitted renovations, mold, foundation cracks, neighborhood smells, or highway noise. EstateIQ Pro is designed as a decision-support tool rather than a complete replacement for on-site inspection.</w:t>
      </w:r>
    </w:p>
    <w:p>
      <w:pPr>
        <w:spacing w:before="160" w:after="40"/>
      </w:pPr>
      <w:r>
        <w:rPr>
          <w:rFonts w:ascii="Calibri" w:hAnsi="Calibri"/>
          <w:b/>
          <w:color w:val="1E3A8A"/>
          <w:sz w:val="22"/>
        </w:rPr>
        <w:t>Q12: How do you explain model predictions to an angry customer whose house was valued lower than expected?</w:t>
      </w:r>
    </w:p>
    <w:p>
      <w:pPr>
        <w:spacing w:before="0" w:after="160"/>
      </w:pPr>
      <w:r>
        <w:rPr>
          <w:rFonts w:ascii="Calibri" w:hAnsi="Calibri"/>
          <w:color w:val="2D3748"/>
          <w:sz w:val="21"/>
        </w:rPr>
        <w:t>Answer: Using the SHAP waterfall chart. Rather than giving a black-box number, we show the mathematical breakdown: e.g., base market value is $650,000, square footage added +$80,000, but house age (-35 years without renovation) subtracted -$45,000, and lower construction grade (6/13) subtracted -$55,000.</w:t>
      </w:r>
    </w:p>
    <w:p>
      <w:pPr>
        <w:spacing w:before="160" w:after="40"/>
      </w:pPr>
      <w:r>
        <w:rPr>
          <w:rFonts w:ascii="Calibri" w:hAnsi="Calibri"/>
          <w:b/>
          <w:color w:val="1E3A8A"/>
          <w:sz w:val="22"/>
        </w:rPr>
        <w:t>Q13: How does the model handle macroeconomic interest rate shocks?</w:t>
      </w:r>
    </w:p>
    <w:p>
      <w:pPr>
        <w:spacing w:before="0" w:after="160"/>
      </w:pPr>
      <w:r>
        <w:rPr>
          <w:rFonts w:ascii="Calibri" w:hAnsi="Calibri"/>
          <w:color w:val="2D3748"/>
          <w:sz w:val="21"/>
        </w:rPr>
        <w:t>Answer: Without macro features, the model assumes historical price levels from the training window. In production, we would incorporate mortgage rate indices (e.g., 30-year fixed rate from FRED API) and consumer price inflation indices as dynamic macro features.</w:t>
      </w:r>
    </w:p>
    <w:p>
      <w:pPr>
        <w:spacing w:before="160" w:after="40"/>
      </w:pPr>
      <w:r>
        <w:rPr>
          <w:rFonts w:ascii="Calibri" w:hAnsi="Calibri"/>
          <w:b/>
          <w:color w:val="1E3A8A"/>
          <w:sz w:val="22"/>
        </w:rPr>
        <w:t>Q14: Why choose King County, WA as the initial modeling metro?</w:t>
      </w:r>
    </w:p>
    <w:p>
      <w:pPr>
        <w:spacing w:before="0" w:after="160"/>
      </w:pPr>
      <w:r>
        <w:rPr>
          <w:rFonts w:ascii="Calibri" w:hAnsi="Calibri"/>
          <w:color w:val="2D3748"/>
          <w:sz w:val="21"/>
        </w:rPr>
        <w:t>Answer: King County (Seattle metro) contains rich demographic and geographic diversity: dense urban core (Seattle), tech suburban hubs (Bellevue, Redmond), rural properties (Enumclaw), and high waterfront variation (Lake Washington/Puget Sound), making it an ideal proving ground for geospatial ML.</w:t>
      </w:r>
    </w:p>
    <w:p>
      <w:pPr>
        <w:spacing w:before="160" w:after="40"/>
      </w:pPr>
      <w:r>
        <w:rPr>
          <w:rFonts w:ascii="Calibri" w:hAnsi="Calibri"/>
          <w:b/>
          <w:color w:val="1E3A8A"/>
          <w:sz w:val="22"/>
        </w:rPr>
        <w:t>Q15: How would you pitch the upgrade from a simple Linear Baseline to LightGBM to your VP of Engineering?</w:t>
      </w:r>
    </w:p>
    <w:p>
      <w:pPr>
        <w:spacing w:before="0" w:after="160"/>
      </w:pPr>
      <w:r>
        <w:rPr>
          <w:rFonts w:ascii="Calibri" w:hAnsi="Calibri"/>
          <w:color w:val="2D3748"/>
          <w:sz w:val="21"/>
        </w:rPr>
        <w:t>Answer: 'Our empirical benchmarks show that switching from Ridge Regression to Optuna-tuned LightGBM increased R² from 0.8632 to 0.9017 and reduced average dollar error (MAE) from $72,384 to $61,293. On a 1,000-listing portfolio, that $11,000+ error reduction represents $11,000,000 in recovered pricing accuracy.'</w:t>
      </w:r>
    </w:p>
    <w:p>
      <w:pPr>
        <w:pStyle w:val="Heading2"/>
        <w:spacing w:before="280" w:after="120"/>
      </w:pPr>
      <w:r>
        <w:rPr>
          <w:rFonts w:ascii="Calibri" w:hAnsi="Calibri"/>
          <w:b/>
          <w:color w:val="2B6CB0"/>
          <w:sz w:val="28"/>
        </w:rPr>
        <w:t>Part 2: Data Engineering, Cleaning &amp; Preprocessing</w:t>
      </w:r>
    </w:p>
    <w:p>
      <w:pPr>
        <w:spacing w:before="160" w:after="40"/>
      </w:pPr>
      <w:r>
        <w:rPr>
          <w:rFonts w:ascii="Calibri" w:hAnsi="Calibri"/>
          <w:b/>
          <w:color w:val="1E3A8A"/>
          <w:sz w:val="22"/>
        </w:rPr>
        <w:t>Q16: What is data leakage, and how did you prevent it in your pipeline?</w:t>
      </w:r>
    </w:p>
    <w:p>
      <w:pPr>
        <w:spacing w:before="0" w:after="160"/>
      </w:pPr>
      <w:r>
        <w:rPr>
          <w:rFonts w:ascii="Calibri" w:hAnsi="Calibri"/>
          <w:color w:val="2D3748"/>
          <w:sz w:val="21"/>
        </w:rPr>
        <w:t>Answer: Data leakage occurs when information from the test/validation set influences the training process. We prevented this by wrapping all transformations inside a scikit-learn Pipeline and fitting transformers strictly on X_train.</w:t>
      </w:r>
    </w:p>
    <w:p>
      <w:pPr>
        <w:spacing w:before="160" w:after="40"/>
      </w:pPr>
      <w:r>
        <w:rPr>
          <w:rFonts w:ascii="Calibri" w:hAnsi="Calibri"/>
          <w:b/>
          <w:color w:val="1E3A8A"/>
          <w:sz w:val="22"/>
        </w:rPr>
        <w:t>Q17: Why use ColumnTransformer instead of manually preprocessing train and test sets separately?</w:t>
      </w:r>
    </w:p>
    <w:p>
      <w:pPr>
        <w:spacing w:before="0" w:after="160"/>
      </w:pPr>
      <w:r>
        <w:rPr>
          <w:rFonts w:ascii="Calibri" w:hAnsi="Calibri"/>
          <w:color w:val="2D3748"/>
          <w:sz w:val="21"/>
        </w:rPr>
        <w:t>Answer: Manual preprocessing duplicates code between training and serving, creating high risk of training-serving skew. ColumnTransformer bundles imputation, scaling, and encoding into a single reproducible object that transforms single-row inputs at inference time with zero manual code.</w:t>
      </w:r>
    </w:p>
    <w:p>
      <w:pPr>
        <w:spacing w:before="160" w:after="40"/>
      </w:pPr>
      <w:r>
        <w:rPr>
          <w:rFonts w:ascii="Calibri" w:hAnsi="Calibri"/>
          <w:b/>
          <w:color w:val="1E3A8A"/>
          <w:sz w:val="22"/>
        </w:rPr>
        <w:t>Q18: Why did you log-transform the target variable price with np.log1p?</w:t>
      </w:r>
    </w:p>
    <w:p>
      <w:pPr>
        <w:spacing w:before="0" w:after="160"/>
      </w:pPr>
      <w:r>
        <w:rPr>
          <w:rFonts w:ascii="Calibri" w:hAnsi="Calibri"/>
          <w:color w:val="2D3748"/>
          <w:sz w:val="21"/>
        </w:rPr>
        <w:t>Answer: Property prices exhibit a heavy right-skewed distribution. Training on raw prices causes squared-error loss functions to over-index on multi-million dollar luxury estates at the expense of typical median homes. np.log1p normalizes target variance, stabilizes gradient updates, and naturally optimizes for percentage error (MAPE).</w:t>
      </w:r>
    </w:p>
    <w:p>
      <w:pPr>
        <w:spacing w:before="160" w:after="40"/>
      </w:pPr>
      <w:r>
        <w:rPr>
          <w:rFonts w:ascii="Calibri" w:hAnsi="Calibri"/>
          <w:b/>
          <w:color w:val="1E3A8A"/>
          <w:sz w:val="22"/>
        </w:rPr>
        <w:t>Q19: Why use np.log1p and np.expm1 instead of np.log and np.exp?</w:t>
      </w:r>
    </w:p>
    <w:p>
      <w:pPr>
        <w:spacing w:before="0" w:after="160"/>
      </w:pPr>
      <w:r>
        <w:rPr>
          <w:rFonts w:ascii="Calibri" w:hAnsi="Calibri"/>
          <w:color w:val="2D3748"/>
          <w:sz w:val="21"/>
        </w:rPr>
        <w:t>Answer: np.log1p(x) computes ln(1 + x) and np.expm1(x) computes e^x - 1. This maintains numerical stability and avoids -inf errors for zero or near-zero values.</w:t>
      </w:r>
    </w:p>
    <w:p>
      <w:pPr>
        <w:spacing w:before="160" w:after="40"/>
      </w:pPr>
      <w:r>
        <w:rPr>
          <w:rFonts w:ascii="Calibri" w:hAnsi="Calibri"/>
          <w:b/>
          <w:color w:val="1E3A8A"/>
          <w:sz w:val="22"/>
        </w:rPr>
        <w:t>Q20: How did you handle data entry outliers in bedrooms (e.g., bedrooms = 33)?</w:t>
      </w:r>
    </w:p>
    <w:p>
      <w:pPr>
        <w:spacing w:before="0" w:after="160"/>
      </w:pPr>
      <w:r>
        <w:rPr>
          <w:rFonts w:ascii="Calibri" w:hAnsi="Calibri"/>
          <w:color w:val="2D3748"/>
          <w:sz w:val="21"/>
        </w:rPr>
        <w:t>Answer: In clean_data(), domain logic was applied: bedrooms were clipped to an upper bound of 15 and lower bound of 1. A 33-bedroom house with 1,600 sqft is an obvious clerical typo (3.3 or 3 bedrooms entered as 33) that would distort linear splits if left unclipped.</w:t>
      </w:r>
    </w:p>
    <w:p>
      <w:pPr>
        <w:spacing w:before="160" w:after="40"/>
      </w:pPr>
      <w:r>
        <w:rPr>
          <w:rFonts w:ascii="Calibri" w:hAnsi="Calibri"/>
          <w:b/>
          <w:color w:val="1E3A8A"/>
          <w:sz w:val="22"/>
        </w:rPr>
        <w:t>Q21: Why use IQR-based percentile clipping (0.5% - 99.5%) rather than outright row deletion?</w:t>
      </w:r>
    </w:p>
    <w:p>
      <w:pPr>
        <w:spacing w:before="0" w:after="160"/>
      </w:pPr>
      <w:r>
        <w:rPr>
          <w:rFonts w:ascii="Calibri" w:hAnsi="Calibri"/>
          <w:color w:val="2D3748"/>
          <w:sz w:val="21"/>
        </w:rPr>
        <w:t>Answer: Blindly deleting outliers removes legitimate high-value properties (e.g., $5M waterfront mansions) and shrinks dataset size. Capping (winsorizing) at the 99.5th percentile preserves the feature signal while capping extreme leverage points from dominating tree split calculations.</w:t>
      </w:r>
    </w:p>
    <w:p>
      <w:pPr>
        <w:spacing w:before="160" w:after="40"/>
      </w:pPr>
      <w:r>
        <w:rPr>
          <w:rFonts w:ascii="Calibri" w:hAnsi="Calibri"/>
          <w:b/>
          <w:color w:val="1E3A8A"/>
          <w:sz w:val="22"/>
        </w:rPr>
        <w:t>Q22: How was yr_renovated cleaned and why?</w:t>
      </w:r>
    </w:p>
    <w:p>
      <w:pPr>
        <w:spacing w:before="0" w:after="160"/>
      </w:pPr>
      <w:r>
        <w:rPr>
          <w:rFonts w:ascii="Calibri" w:hAnsi="Calibri"/>
          <w:color w:val="2D3748"/>
          <w:sz w:val="21"/>
        </w:rPr>
        <w:t>Answer: In raw real estate data, yr_renovated = 0 indicates the property was never renovated. Treating 0 as a raw numeric year would corrupt calculations (making it appear built in Year 0). We mapped 0 to pd.NA and derived a binary flag is_renovated and a continuous feature years_since_renovation.</w:t>
      </w:r>
    </w:p>
    <w:p>
      <w:pPr>
        <w:spacing w:before="160" w:after="40"/>
      </w:pPr>
      <w:r>
        <w:rPr>
          <w:rFonts w:ascii="Calibri" w:hAnsi="Calibri"/>
          <w:b/>
          <w:color w:val="1E3A8A"/>
          <w:sz w:val="22"/>
        </w:rPr>
        <w:t>Q23: Why convert zipcode to a string instead of leaving it as an integer?</w:t>
      </w:r>
    </w:p>
    <w:p>
      <w:pPr>
        <w:spacing w:before="0" w:after="160"/>
      </w:pPr>
      <w:r>
        <w:rPr>
          <w:rFonts w:ascii="Calibri" w:hAnsi="Calibri"/>
          <w:color w:val="2D3748"/>
          <w:sz w:val="21"/>
        </w:rPr>
        <w:t>Answer: Zip codes are nominal categories, not ordinal numbers. Treating 98103 and 98104 as numbers implies that 98104 is mathematically 'greater than' 98103, which creates false linear relationships.</w:t>
      </w:r>
    </w:p>
    <w:p>
      <w:pPr>
        <w:spacing w:before="160" w:after="40"/>
      </w:pPr>
      <w:r>
        <w:rPr>
          <w:rFonts w:ascii="Calibri" w:hAnsi="Calibri"/>
          <w:b/>
          <w:color w:val="1E3A8A"/>
          <w:sz w:val="22"/>
        </w:rPr>
        <w:t>Q24: How does OneHotEncoder(handle_unknown='ignore') prevent production crashes?</w:t>
      </w:r>
    </w:p>
    <w:p>
      <w:pPr>
        <w:spacing w:before="0" w:after="160"/>
      </w:pPr>
      <w:r>
        <w:rPr>
          <w:rFonts w:ascii="Calibri" w:hAnsi="Calibri"/>
          <w:color w:val="2D3748"/>
          <w:sz w:val="21"/>
        </w:rPr>
        <w:t>Answer: If an unseen zip code is provided at inference time, standard encoders throw a ValueError. handle_unknown='ignore' assigns all zero coefficients to the new category, allowing the model to fall back smoothly onto numerical and geospatial features (lat, long, sqft).</w:t>
      </w:r>
    </w:p>
    <w:p>
      <w:pPr>
        <w:spacing w:before="160" w:after="40"/>
      </w:pPr>
      <w:r>
        <w:rPr>
          <w:rFonts w:ascii="Calibri" w:hAnsi="Calibri"/>
          <w:b/>
          <w:color w:val="1E3A8A"/>
          <w:sz w:val="22"/>
        </w:rPr>
        <w:t>Q25: Why did you choose RobustScaler over StandardScaler or MinMaxScaler?</w:t>
      </w:r>
    </w:p>
    <w:p>
      <w:pPr>
        <w:spacing w:before="0" w:after="160"/>
      </w:pPr>
      <w:r>
        <w:rPr>
          <w:rFonts w:ascii="Calibri" w:hAnsi="Calibri"/>
          <w:color w:val="2D3748"/>
          <w:sz w:val="21"/>
        </w:rPr>
        <w:t>Answer: StandardScaler uses mean and standard deviation, which are heavily distorted by extreme values (e.g., massive lot sizes). RobustScaler removes the median and scales data according to the Interquartile Range (IQR between 25th and 75th quantiles), making it immune to extreme real estate outliers.</w:t>
      </w:r>
    </w:p>
    <w:p>
      <w:pPr>
        <w:spacing w:before="160" w:after="40"/>
      </w:pPr>
      <w:r>
        <w:rPr>
          <w:rFonts w:ascii="Calibri" w:hAnsi="Calibri"/>
          <w:b/>
          <w:color w:val="1E3A8A"/>
          <w:sz w:val="22"/>
        </w:rPr>
        <w:t>Q26: What was the corrupted data issue with sqft_basement in raw data, and how did you resolve it?</w:t>
      </w:r>
    </w:p>
    <w:p>
      <w:pPr>
        <w:spacing w:before="0" w:after="160"/>
      </w:pPr>
      <w:r>
        <w:rPr>
          <w:rFonts w:ascii="Calibri" w:hAnsi="Calibri"/>
          <w:color w:val="2D3748"/>
          <w:sz w:val="21"/>
        </w:rPr>
        <w:t>Answer: Some raw rows contained the string character '?' for missing basement areas. Direct casting to float resulted in ValueError. We used pd.to_numeric(data[col], errors='coerce').fillna(0) to coerce corrupted characters to NaN and impute them cleanly as 0 (no basement).</w:t>
      </w:r>
    </w:p>
    <w:p>
      <w:pPr>
        <w:spacing w:before="160" w:after="40"/>
      </w:pPr>
      <w:r>
        <w:rPr>
          <w:rFonts w:ascii="Calibri" w:hAnsi="Calibri"/>
          <w:b/>
          <w:color w:val="1E3A8A"/>
          <w:sz w:val="22"/>
        </w:rPr>
        <w:t>Q27: What is the purpose of ColumnSelector in src/preprocessing.py?</w:t>
      </w:r>
    </w:p>
    <w:p>
      <w:pPr>
        <w:spacing w:before="0" w:after="160"/>
      </w:pPr>
      <w:r>
        <w:rPr>
          <w:rFonts w:ascii="Calibri" w:hAnsi="Calibri"/>
          <w:color w:val="2D3748"/>
          <w:sz w:val="21"/>
        </w:rPr>
        <w:t>Answer: It acts as an input contract validator. If a user or API omits optional fields (e.g., sqft_lot15 or view), ColumnSelector inserts the missing column with NaN so downstream imputers can handle it without crashing the pipeline.</w:t>
      </w:r>
    </w:p>
    <w:p>
      <w:pPr>
        <w:spacing w:before="160" w:after="40"/>
      </w:pPr>
      <w:r>
        <w:rPr>
          <w:rFonts w:ascii="Calibri" w:hAnsi="Calibri"/>
          <w:b/>
          <w:color w:val="1E3A8A"/>
          <w:sz w:val="22"/>
        </w:rPr>
        <w:t>Q28: What is the difference between fit_transform() and transform()?</w:t>
      </w:r>
    </w:p>
    <w:p>
      <w:pPr>
        <w:spacing w:before="0" w:after="160"/>
      </w:pPr>
      <w:r>
        <w:rPr>
          <w:rFonts w:ascii="Calibri" w:hAnsi="Calibri"/>
          <w:color w:val="2D3748"/>
          <w:sz w:val="21"/>
        </w:rPr>
        <w:t>Answer: fit_transform() learns parameters (medians, IQR, category dictionaries) AND transforms the data. transform() applies pre-computed parameters without updating them. In production, we ONLY call transform() on new inference inputs.</w:t>
      </w:r>
    </w:p>
    <w:p>
      <w:pPr>
        <w:spacing w:before="160" w:after="40"/>
      </w:pPr>
      <w:r>
        <w:rPr>
          <w:rFonts w:ascii="Calibri" w:hAnsi="Calibri"/>
          <w:b/>
          <w:color w:val="1E3A8A"/>
          <w:sz w:val="22"/>
        </w:rPr>
        <w:t>Q29: What is Stratified Train/Test Split, and why did you stratify by price quantiles?</w:t>
      </w:r>
    </w:p>
    <w:p>
      <w:pPr>
        <w:spacing w:before="0" w:after="160"/>
      </w:pPr>
      <w:r>
        <w:rPr>
          <w:rFonts w:ascii="Calibri" w:hAnsi="Calibri"/>
          <w:color w:val="2D3748"/>
          <w:sz w:val="21"/>
        </w:rPr>
        <w:t>Answer: A pure random split can accidentally place a disproportionate number of luxury estates into the test set. By binning price into 10 quantiles and stratifying, we guaranteed identical price distributions across both training (17,136 rows) and holdout test (4,284 rows) sets.</w:t>
      </w:r>
    </w:p>
    <w:p>
      <w:pPr>
        <w:spacing w:before="160" w:after="40"/>
      </w:pPr>
      <w:r>
        <w:rPr>
          <w:rFonts w:ascii="Calibri" w:hAnsi="Calibri"/>
          <w:b/>
          <w:color w:val="1E3A8A"/>
          <w:sz w:val="22"/>
        </w:rPr>
        <w:t>Q30: How did you ensure reproducible splits?</w:t>
      </w:r>
    </w:p>
    <w:p>
      <w:pPr>
        <w:spacing w:before="0" w:after="160"/>
      </w:pPr>
      <w:r>
        <w:rPr>
          <w:rFonts w:ascii="Calibri" w:hAnsi="Calibri"/>
          <w:color w:val="2D3748"/>
          <w:sz w:val="21"/>
        </w:rPr>
        <w:t>Answer: By fixing the pseudo-random number generator seed (random_state=42) across all train_test_split, KFold, and model initializations.</w:t>
      </w:r>
    </w:p>
    <w:p>
      <w:pPr>
        <w:spacing w:before="160" w:after="40"/>
      </w:pPr>
      <w:r>
        <w:rPr>
          <w:rFonts w:ascii="Calibri" w:hAnsi="Calibri"/>
          <w:b/>
          <w:color w:val="1E3A8A"/>
          <w:sz w:val="22"/>
        </w:rPr>
        <w:t>Q31: How did you handle date parsing and seasonality?</w:t>
      </w:r>
    </w:p>
    <w:p>
      <w:pPr>
        <w:spacing w:before="0" w:after="160"/>
      </w:pPr>
      <w:r>
        <w:rPr>
          <w:rFonts w:ascii="Calibri" w:hAnsi="Calibri"/>
          <w:color w:val="2D3748"/>
          <w:sz w:val="21"/>
        </w:rPr>
        <w:t>Answer: The raw date string ('20141013T000000') was parsed with pd.to_datetime to extract sale_year and sale_month. Real estate has strong summer vs. winter transaction seasonality.</w:t>
      </w:r>
    </w:p>
    <w:p>
      <w:pPr>
        <w:spacing w:before="160" w:after="40"/>
      </w:pPr>
      <w:r>
        <w:rPr>
          <w:rFonts w:ascii="Calibri" w:hAnsi="Calibri"/>
          <w:b/>
          <w:color w:val="1E3A8A"/>
          <w:sz w:val="22"/>
        </w:rPr>
        <w:t>Q32: Why not normalize all features between 0 and 1 using MinMaxScaler?</w:t>
      </w:r>
    </w:p>
    <w:p>
      <w:pPr>
        <w:spacing w:before="0" w:after="160"/>
      </w:pPr>
      <w:r>
        <w:rPr>
          <w:rFonts w:ascii="Calibri" w:hAnsi="Calibri"/>
          <w:color w:val="2D3748"/>
          <w:sz w:val="21"/>
        </w:rPr>
        <w:t>Answer: MinMaxScaler is sensitive to outliers because extreme values compress normal observations into a tiny sub-interval. Furthermore, tree-based models like LightGBM are scale-invariant, so bounding features is unnecessary.</w:t>
      </w:r>
    </w:p>
    <w:p>
      <w:pPr>
        <w:spacing w:before="160" w:after="40"/>
      </w:pPr>
      <w:r>
        <w:rPr>
          <w:rFonts w:ascii="Calibri" w:hAnsi="Calibri"/>
          <w:b/>
          <w:color w:val="1E3A8A"/>
          <w:sz w:val="22"/>
        </w:rPr>
        <w:t>Q33: How do you verify that no missing values exist before passing data to models that require dense matrices?</w:t>
      </w:r>
    </w:p>
    <w:p>
      <w:pPr>
        <w:spacing w:before="0" w:after="160"/>
      </w:pPr>
      <w:r>
        <w:rPr>
          <w:rFonts w:ascii="Calibri" w:hAnsi="Calibri"/>
          <w:color w:val="2D3748"/>
          <w:sz w:val="21"/>
        </w:rPr>
        <w:t>Answer: SimpleImputer(strategy='median') is chained directly into the numeric pipeline, replacing any residual NaNs with training column medians.</w:t>
      </w:r>
    </w:p>
    <w:p>
      <w:pPr>
        <w:spacing w:before="160" w:after="40"/>
      </w:pPr>
      <w:r>
        <w:rPr>
          <w:rFonts w:ascii="Calibri" w:hAnsi="Calibri"/>
          <w:b/>
          <w:color w:val="1E3A8A"/>
          <w:sz w:val="22"/>
        </w:rPr>
        <w:t>Q34: What is the dimensionality of the feature space after one-hot encoding?</w:t>
      </w:r>
    </w:p>
    <w:p>
      <w:pPr>
        <w:spacing w:before="0" w:after="160"/>
      </w:pPr>
      <w:r>
        <w:rPr>
          <w:rFonts w:ascii="Calibri" w:hAnsi="Calibri"/>
          <w:color w:val="2D3748"/>
          <w:sz w:val="21"/>
        </w:rPr>
        <w:t>Answer: The raw feature space of 19 columns expands to 98 dense features after one-hot encoding the 70 unique King County zip codes and computing the 28 engineered numeric features.</w:t>
      </w:r>
    </w:p>
    <w:p>
      <w:pPr>
        <w:spacing w:before="160" w:after="40"/>
      </w:pPr>
      <w:r>
        <w:rPr>
          <w:rFonts w:ascii="Calibri" w:hAnsi="Calibri"/>
          <w:b/>
          <w:color w:val="1E3A8A"/>
          <w:sz w:val="22"/>
        </w:rPr>
        <w:t>Q35: How did you verify that data cleaning did not drop valid listings?</w:t>
      </w:r>
    </w:p>
    <w:p>
      <w:pPr>
        <w:spacing w:before="0" w:after="160"/>
      </w:pPr>
      <w:r>
        <w:rPr>
          <w:rFonts w:ascii="Calibri" w:hAnsi="Calibri"/>
          <w:color w:val="2D3748"/>
          <w:sz w:val="21"/>
        </w:rPr>
        <w:t>Answer: De-duplication was performed strictly on the primary listing key (id), and row dropping was restricted solely to rows with missing target values (price.isna()), preserving 21,420 out of 21,597 raw records.</w:t>
      </w:r>
    </w:p>
    <w:p>
      <w:pPr>
        <w:pStyle w:val="Heading2"/>
        <w:spacing w:before="280" w:after="120"/>
      </w:pPr>
      <w:r>
        <w:rPr>
          <w:rFonts w:ascii="Calibri" w:hAnsi="Calibri"/>
          <w:b/>
          <w:color w:val="2B6CB0"/>
          <w:sz w:val="28"/>
        </w:rPr>
        <w:t>Part 3: Feature Engineering &amp; Domain Insights</w:t>
      </w:r>
    </w:p>
    <w:p>
      <w:pPr>
        <w:spacing w:before="160" w:after="40"/>
      </w:pPr>
      <w:r>
        <w:rPr>
          <w:rFonts w:ascii="Calibri" w:hAnsi="Calibri"/>
          <w:b/>
          <w:color w:val="1E3A8A"/>
          <w:sz w:val="22"/>
        </w:rPr>
        <w:t>Q36: Why is price_per_sqft strictly forbidden as an input feature in training?</w:t>
      </w:r>
    </w:p>
    <w:p>
      <w:pPr>
        <w:spacing w:before="0" w:after="160"/>
      </w:pPr>
      <w:r>
        <w:rPr>
          <w:rFonts w:ascii="Calibri" w:hAnsi="Calibri"/>
          <w:color w:val="2D3748"/>
          <w:sz w:val="21"/>
        </w:rPr>
        <w:t>Answer: Target Leakage. price_per_sqft = price / sqft_living. Because it directly uses the target variable price, including it as an input would give the model access to ground truth, resulting in artificial R² = 1.0 in training but catastrophic failure in production where price is unknown.</w:t>
      </w:r>
    </w:p>
    <w:p>
      <w:pPr>
        <w:spacing w:before="160" w:after="40"/>
      </w:pPr>
      <w:r>
        <w:rPr>
          <w:rFonts w:ascii="Calibri" w:hAnsi="Calibri"/>
          <w:b/>
          <w:color w:val="1E3A8A"/>
          <w:sz w:val="22"/>
        </w:rPr>
        <w:t>Q37: What is the formula and real estate rationale for house_age?</w:t>
      </w:r>
    </w:p>
    <w:p>
      <w:pPr>
        <w:spacing w:before="0" w:after="160"/>
      </w:pPr>
      <w:r>
        <w:rPr>
          <w:rFonts w:ascii="Calibri" w:hAnsi="Calibri"/>
          <w:color w:val="2D3748"/>
          <w:sz w:val="21"/>
        </w:rPr>
        <w:t>Answer: house_age = sale_year - yr_built. Older homes face structural depreciation, outdated plumbing/electrical systems, and deferred maintenance, lowering property valuation holding all other dimensions constant.</w:t>
      </w:r>
    </w:p>
    <w:p>
      <w:pPr>
        <w:spacing w:before="160" w:after="40"/>
      </w:pPr>
      <w:r>
        <w:rPr>
          <w:rFonts w:ascii="Calibri" w:hAnsi="Calibri"/>
          <w:b/>
          <w:color w:val="1E3A8A"/>
          <w:sz w:val="22"/>
        </w:rPr>
        <w:t>Q38: How does years_since_renovation improve upon raw yr_renovated?</w:t>
      </w:r>
    </w:p>
    <w:p>
      <w:pPr>
        <w:spacing w:before="0" w:after="160"/>
      </w:pPr>
      <w:r>
        <w:rPr>
          <w:rFonts w:ascii="Calibri" w:hAnsi="Calibri"/>
          <w:color w:val="2D3748"/>
          <w:sz w:val="21"/>
        </w:rPr>
        <w:t>Answer: If a home was renovated in 2010 and sold in 2015, years_since_renovation = 5. If it was never renovated, it defaults to house_age. This captures the non-linear value reset that major capital renovations provide.</w:t>
      </w:r>
    </w:p>
    <w:p>
      <w:pPr>
        <w:spacing w:before="160" w:after="40"/>
      </w:pPr>
      <w:r>
        <w:rPr>
          <w:rFonts w:ascii="Calibri" w:hAnsi="Calibri"/>
          <w:b/>
          <w:color w:val="1E3A8A"/>
          <w:sz w:val="22"/>
        </w:rPr>
        <w:t>Q39: What is sqft_living_x_grade and why is it the top feature in the model?</w:t>
      </w:r>
    </w:p>
    <w:p>
      <w:pPr>
        <w:spacing w:before="0" w:after="160"/>
      </w:pPr>
      <w:r>
        <w:rPr>
          <w:rFonts w:ascii="Calibri" w:hAnsi="Calibri"/>
          <w:color w:val="2D3748"/>
          <w:sz w:val="21"/>
        </w:rPr>
        <w:t>Answer: It is a multiplicative interaction term between living area and construction grade (1-13). A 4,000 sqft house built with custom luxury architectural materials (Grade 12) commands far more value per square foot than a 4,000 sqft tract house (Grade 7). This term allows tree models to capture luxury scaling non-linearly.</w:t>
      </w:r>
    </w:p>
    <w:p>
      <w:pPr>
        <w:spacing w:before="160" w:after="40"/>
      </w:pPr>
      <w:r>
        <w:rPr>
          <w:rFonts w:ascii="Calibri" w:hAnsi="Calibri"/>
          <w:b/>
          <w:color w:val="1E3A8A"/>
          <w:sz w:val="22"/>
        </w:rPr>
        <w:t>Q40: What does bed_bath_ratio capture?</w:t>
      </w:r>
    </w:p>
    <w:p>
      <w:pPr>
        <w:spacing w:before="0" w:after="160"/>
      </w:pPr>
      <w:r>
        <w:rPr>
          <w:rFonts w:ascii="Calibri" w:hAnsi="Calibri"/>
          <w:color w:val="2D3748"/>
          <w:sz w:val="21"/>
        </w:rPr>
        <w:t>Answer: bed_bath_ratio = bathrooms / bedrooms. It reflects modern layout functionality. A 4-bedroom house with only 1 bathroom suffers a severe functional obsolescence discount compared to a 4-bedroom house with 3.5 bathrooms.</w:t>
      </w:r>
    </w:p>
    <w:p>
      <w:pPr>
        <w:spacing w:before="160" w:after="40"/>
      </w:pPr>
      <w:r>
        <w:rPr>
          <w:rFonts w:ascii="Calibri" w:hAnsi="Calibri"/>
          <w:b/>
          <w:color w:val="1E3A8A"/>
          <w:sz w:val="22"/>
        </w:rPr>
        <w:t>Q41: What is relative_sqft_living and why is it valuable?</w:t>
      </w:r>
    </w:p>
    <w:p>
      <w:pPr>
        <w:spacing w:before="0" w:after="160"/>
      </w:pPr>
      <w:r>
        <w:rPr>
          <w:rFonts w:ascii="Calibri" w:hAnsi="Calibri"/>
          <w:color w:val="2D3748"/>
          <w:sz w:val="21"/>
        </w:rPr>
        <w:t>Answer: relative_sqft_living = sqft_living / sqft_living15. It measures whether a property is a 'mansion among cottages' or an 'under-built home on a large lot' relative to its 15 immediate neighbors. In real estate, the most expensive house on a modest street suffers price compression.</w:t>
      </w:r>
    </w:p>
    <w:p>
      <w:pPr>
        <w:spacing w:before="160" w:after="40"/>
      </w:pPr>
      <w:r>
        <w:rPr>
          <w:rFonts w:ascii="Calibri" w:hAnsi="Calibri"/>
          <w:b/>
          <w:color w:val="1E3A8A"/>
          <w:sz w:val="22"/>
        </w:rPr>
        <w:t>Q42: What does sqft_ratio_living_lot represent?</w:t>
      </w:r>
    </w:p>
    <w:p>
      <w:pPr>
        <w:spacing w:before="0" w:after="160"/>
      </w:pPr>
      <w:r>
        <w:rPr>
          <w:rFonts w:ascii="Calibri" w:hAnsi="Calibri"/>
          <w:color w:val="2D3748"/>
          <w:sz w:val="21"/>
        </w:rPr>
        <w:t>Answer: The ratio of interior living space to total land parcel area. High values indicate urban zero-lot-line townhomes; low values represent expansive suburban or rural acreages.</w:t>
      </w:r>
    </w:p>
    <w:p>
      <w:pPr>
        <w:spacing w:before="160" w:after="40"/>
      </w:pPr>
      <w:r>
        <w:rPr>
          <w:rFonts w:ascii="Calibri" w:hAnsi="Calibri"/>
          <w:b/>
          <w:color w:val="1E3A8A"/>
          <w:sz w:val="22"/>
        </w:rPr>
        <w:t>Q43: How did you handle geographic coordinate features (lat, long)?</w:t>
      </w:r>
    </w:p>
    <w:p>
      <w:pPr>
        <w:spacing w:before="0" w:after="160"/>
      </w:pPr>
      <w:r>
        <w:rPr>
          <w:rFonts w:ascii="Calibri" w:hAnsi="Calibri"/>
          <w:color w:val="2D3748"/>
          <w:sz w:val="21"/>
        </w:rPr>
        <w:t>Answer: Latitude and longitude were preserved as continuous numerical features. Gradient boosted decision trees create orthogonal splits across lat/long planes, forming geographic bounding boxes that isolate micro-neighborhoods (e.g., waterfront bluffs in Medina vs. industrial valleys in Renton).</w:t>
      </w:r>
    </w:p>
    <w:p>
      <w:pPr>
        <w:spacing w:before="160" w:after="40"/>
      </w:pPr>
      <w:r>
        <w:rPr>
          <w:rFonts w:ascii="Calibri" w:hAnsi="Calibri"/>
          <w:b/>
          <w:color w:val="1E3A8A"/>
          <w:sz w:val="22"/>
        </w:rPr>
        <w:t>Q44: What is has_basement and why create a binary flag when sqft_basement exists?</w:t>
      </w:r>
    </w:p>
    <w:p>
      <w:pPr>
        <w:spacing w:before="0" w:after="160"/>
      </w:pPr>
      <w:r>
        <w:rPr>
          <w:rFonts w:ascii="Calibri" w:hAnsi="Calibri"/>
          <w:color w:val="2D3748"/>
          <w:sz w:val="21"/>
        </w:rPr>
        <w:t>Answer: Decision tree splits benefit from explicit boolean indicator variables. The presence of a basement changes structural foundation type and appraisal categorization regardless of raw square footage.</w:t>
      </w:r>
    </w:p>
    <w:p>
      <w:pPr>
        <w:spacing w:before="160" w:after="40"/>
      </w:pPr>
      <w:r>
        <w:rPr>
          <w:rFonts w:ascii="Calibri" w:hAnsi="Calibri"/>
          <w:b/>
          <w:color w:val="1E3A8A"/>
          <w:sz w:val="22"/>
        </w:rPr>
        <w:t>Q45: What does sqft_above_ratio measure?</w:t>
      </w:r>
    </w:p>
    <w:p>
      <w:pPr>
        <w:spacing w:before="0" w:after="160"/>
      </w:pPr>
      <w:r>
        <w:rPr>
          <w:rFonts w:ascii="Calibri" w:hAnsi="Calibri"/>
          <w:color w:val="2D3748"/>
          <w:sz w:val="21"/>
        </w:rPr>
        <w:t>Answer: sqft_above / sqft_living. It indicates the proportion of living space situated above grade vs. below grade. Above-ground living area is appraised at higher market value per square foot than subterranean basement space.</w:t>
      </w:r>
    </w:p>
    <w:p>
      <w:pPr>
        <w:spacing w:before="160" w:after="40"/>
      </w:pPr>
      <w:r>
        <w:rPr>
          <w:rFonts w:ascii="Calibri" w:hAnsi="Calibri"/>
          <w:b/>
          <w:color w:val="1E3A8A"/>
          <w:sz w:val="22"/>
        </w:rPr>
        <w:t>Q46: Why did you not use PolynomialFeatures(degree=3) across all numerical columns?</w:t>
      </w:r>
    </w:p>
    <w:p>
      <w:pPr>
        <w:spacing w:before="0" w:after="160"/>
      </w:pPr>
      <w:r>
        <w:rPr>
          <w:rFonts w:ascii="Calibri" w:hAnsi="Calibri"/>
          <w:color w:val="2D3748"/>
          <w:sz w:val="21"/>
        </w:rPr>
        <w:t>Answer: Expanding 20 features to degree-3 polynomials creates thousands of redundant, highly collinear features, exploding training time, increasing tree depth requirements, and causing overfitting. Targeted, domain-driven feature engineering outperforms brute-force polynomial expansion.</w:t>
      </w:r>
    </w:p>
    <w:p>
      <w:pPr>
        <w:spacing w:before="160" w:after="40"/>
      </w:pPr>
      <w:r>
        <w:rPr>
          <w:rFonts w:ascii="Calibri" w:hAnsi="Calibri"/>
          <w:b/>
          <w:color w:val="1E3A8A"/>
          <w:sz w:val="22"/>
        </w:rPr>
        <w:t>Q47: What is the correlation between grade and price?</w:t>
      </w:r>
    </w:p>
    <w:p>
      <w:pPr>
        <w:spacing w:before="0" w:after="160"/>
      </w:pPr>
      <w:r>
        <w:rPr>
          <w:rFonts w:ascii="Calibri" w:hAnsi="Calibri"/>
          <w:color w:val="2D3748"/>
          <w:sz w:val="21"/>
        </w:rPr>
        <w:t>Answer: In our EDA, grade had a Pearson correlation of ~0.67 with price, ranking as one of the strongest individual linear and monotonic predictors in the entire dataset.</w:t>
      </w:r>
    </w:p>
    <w:p>
      <w:pPr>
        <w:spacing w:before="160" w:after="40"/>
      </w:pPr>
      <w:r>
        <w:rPr>
          <w:rFonts w:ascii="Calibri" w:hAnsi="Calibri"/>
          <w:b/>
          <w:color w:val="1E3A8A"/>
          <w:sz w:val="22"/>
        </w:rPr>
        <w:t>Q48: How did you handle ordinal categorical features like view (0–4) and condition (1–5)?</w:t>
      </w:r>
    </w:p>
    <w:p>
      <w:pPr>
        <w:spacing w:before="0" w:after="160"/>
      </w:pPr>
      <w:r>
        <w:rPr>
          <w:rFonts w:ascii="Calibri" w:hAnsi="Calibri"/>
          <w:color w:val="2D3748"/>
          <w:sz w:val="21"/>
        </w:rPr>
        <w:t>Answer: They possess genuine mathematical ordering (e.g., Condition 5 is strictly better than Condition 3). They were preserved as numerical integers so tree algorithms could exploit ordered monotonic inequality splits (x &gt;= 4).</w:t>
      </w:r>
    </w:p>
    <w:p>
      <w:pPr>
        <w:spacing w:before="160" w:after="40"/>
      </w:pPr>
      <w:r>
        <w:rPr>
          <w:rFonts w:ascii="Calibri" w:hAnsi="Calibri"/>
          <w:b/>
          <w:color w:val="1E3A8A"/>
          <w:sz w:val="22"/>
        </w:rPr>
        <w:t>Q49: If external data were available, what top 3 features would you engineer next?</w:t>
      </w:r>
    </w:p>
    <w:p>
      <w:pPr>
        <w:spacing w:before="0" w:after="160"/>
      </w:pPr>
      <w:r>
        <w:rPr>
          <w:rFonts w:ascii="Calibri" w:hAnsi="Calibri"/>
          <w:color w:val="2D3748"/>
          <w:sz w:val="21"/>
        </w:rPr>
        <w:t>Answer: 1. GreatSchools Rating Index: School district quality is the #1 family housing price driver.</w:t>
        <w:br/>
        <w:t>2. Walk Score / Transit Score: Proximity to light rail and commercial districts.</w:t>
        <w:br/>
        <w:t>3. Neighborhood Violent/Property Crime Index: Direct driver of neighborhood valuation discounts.</w:t>
      </w:r>
    </w:p>
    <w:p>
      <w:pPr>
        <w:spacing w:before="160" w:after="40"/>
      </w:pPr>
      <w:r>
        <w:rPr>
          <w:rFonts w:ascii="Calibri" w:hAnsi="Calibri"/>
          <w:b/>
          <w:color w:val="1E3A8A"/>
          <w:sz w:val="22"/>
        </w:rPr>
        <w:t>Q50: How do you verify that engineered features do not introduce multicollinearity issues for tree models?</w:t>
      </w:r>
    </w:p>
    <w:p>
      <w:pPr>
        <w:spacing w:before="0" w:after="160"/>
      </w:pPr>
      <w:r>
        <w:rPr>
          <w:rFonts w:ascii="Calibri" w:hAnsi="Calibri"/>
          <w:color w:val="2D3748"/>
          <w:sz w:val="21"/>
        </w:rPr>
        <w:t>Answer: While linear models suffer from inflated coefficient variance under multicollinearity, gradient boosted tree algorithms naturally select the most informative feature at each split. We validated feature importance distributions and confirmed holdout test error dropped from 13.45% to 11.60%.</w:t>
      </w:r>
    </w:p>
    <w:p>
      <w:pPr>
        <w:pStyle w:val="Heading2"/>
        <w:spacing w:before="280" w:after="120"/>
      </w:pPr>
      <w:r>
        <w:rPr>
          <w:rFonts w:ascii="Calibri" w:hAnsi="Calibri"/>
          <w:b/>
          <w:color w:val="2B6CB0"/>
          <w:sz w:val="28"/>
        </w:rPr>
        <w:t>Part 4: Model Selection, Math &amp; Gradient Boosting Algorithms</w:t>
      </w:r>
    </w:p>
    <w:p>
      <w:pPr>
        <w:spacing w:before="160" w:after="40"/>
      </w:pPr>
      <w:r>
        <w:rPr>
          <w:rFonts w:ascii="Calibri" w:hAnsi="Calibri"/>
          <w:b/>
          <w:color w:val="1E3A8A"/>
          <w:sz w:val="22"/>
        </w:rPr>
        <w:t>Q51: Walk through the mathematical objective function of Ridge Regression.</w:t>
      </w:r>
    </w:p>
    <w:p>
      <w:pPr>
        <w:spacing w:before="0" w:after="160"/>
      </w:pPr>
      <w:r>
        <w:rPr>
          <w:rFonts w:ascii="Calibri" w:hAnsi="Calibri"/>
          <w:color w:val="2D3748"/>
          <w:sz w:val="21"/>
        </w:rPr>
        <w:t>Answer: Ridge regression minimizes Ordinary Least Squares loss with an L2 penalty on weights:</w:t>
        <w:br/>
        <w:t>L_Ridge(w) = sum((y_i - w^T x_i)^2) + alpha * sum(w_j^2)</w:t>
        <w:br/>
        <w:t>The L2 penalty shrinks regression coefficients toward zero, reducing variance and handling correlated features.</w:t>
      </w:r>
    </w:p>
    <w:p>
      <w:pPr>
        <w:spacing w:before="160" w:after="40"/>
      </w:pPr>
      <w:r>
        <w:rPr>
          <w:rFonts w:ascii="Calibri" w:hAnsi="Calibri"/>
          <w:b/>
          <w:color w:val="1E3A8A"/>
          <w:sz w:val="22"/>
        </w:rPr>
        <w:t>Q52: Why did Random Forest outperform Ridge in your benchmark?</w:t>
      </w:r>
    </w:p>
    <w:p>
      <w:pPr>
        <w:spacing w:before="0" w:after="160"/>
      </w:pPr>
      <w:r>
        <w:rPr>
          <w:rFonts w:ascii="Calibri" w:hAnsi="Calibri"/>
          <w:color w:val="2D3748"/>
          <w:sz w:val="21"/>
        </w:rPr>
        <w:t>Answer: Real estate prices have sharp non-linear boundaries (e.g., waterfront premium jumps exponentially; construction grade has super-linear pricing tiers). Random Forest captures non-linear decision boundaries and high-order feature interactions through an ensemble of decorrelated decision trees using bagging.</w:t>
      </w:r>
    </w:p>
    <w:p>
      <w:pPr>
        <w:spacing w:before="160" w:after="40"/>
      </w:pPr>
      <w:r>
        <w:rPr>
          <w:rFonts w:ascii="Calibri" w:hAnsi="Calibri"/>
          <w:b/>
          <w:color w:val="1E3A8A"/>
          <w:sz w:val="22"/>
        </w:rPr>
        <w:t>Q53: What is the fundamental difference between Bagging and Boosting?</w:t>
      </w:r>
    </w:p>
    <w:p>
      <w:pPr>
        <w:spacing w:before="0" w:after="160"/>
      </w:pPr>
      <w:r>
        <w:rPr>
          <w:rFonts w:ascii="Calibri" w:hAnsi="Calibri"/>
          <w:color w:val="2D3748"/>
          <w:sz w:val="21"/>
        </w:rPr>
        <w:t>Answer: Bagging (Random Forest): Trains multiple deep trees in parallel on bootstrap samples of data and averages their predictions to reduce variance.</w:t>
        <w:br/>
        <w:t>Boosting (LightGBM/XGBoost): Trains shallow trees sequentially, where each subsequent tree fits to the pseudo-residuals (negative gradients) of the previous ensemble to reduce bias.</w:t>
      </w:r>
    </w:p>
    <w:p>
      <w:pPr>
        <w:spacing w:before="160" w:after="40"/>
      </w:pPr>
      <w:r>
        <w:rPr>
          <w:rFonts w:ascii="Calibri" w:hAnsi="Calibri"/>
          <w:b/>
          <w:color w:val="1E3A8A"/>
          <w:sz w:val="22"/>
        </w:rPr>
        <w:t>Q54: How does Gradient Boosting minimize a loss function mathematically?</w:t>
      </w:r>
    </w:p>
    <w:p>
      <w:pPr>
        <w:spacing w:before="0" w:after="160"/>
      </w:pPr>
      <w:r>
        <w:rPr>
          <w:rFonts w:ascii="Calibri" w:hAnsi="Calibri"/>
          <w:color w:val="2D3748"/>
          <w:sz w:val="21"/>
        </w:rPr>
        <w:t>Answer: For a differentiable loss function L(y, y_hat), at step m, the model computes pseudo-residuals: r_im = -[dL(y_i, F(x_i))/dF(x_i)]. A new weak learner h_m(x) is fitted to predict r_im, and the ensemble is updated via F_m(x) = F_{m-1}(x) + eta * h_m(x), where eta is the learning rate.</w:t>
      </w:r>
    </w:p>
    <w:p>
      <w:pPr>
        <w:spacing w:before="160" w:after="40"/>
      </w:pPr>
      <w:r>
        <w:rPr>
          <w:rFonts w:ascii="Calibri" w:hAnsi="Calibri"/>
          <w:b/>
          <w:color w:val="1E3A8A"/>
          <w:sz w:val="22"/>
        </w:rPr>
        <w:t>Q55: Why did LightGBM outperform XGBoost and Random Forest in your project?</w:t>
      </w:r>
    </w:p>
    <w:p>
      <w:pPr>
        <w:spacing w:before="0" w:after="160"/>
      </w:pPr>
      <w:r>
        <w:rPr>
          <w:rFonts w:ascii="Calibri" w:hAnsi="Calibri"/>
          <w:color w:val="2D3748"/>
          <w:sz w:val="21"/>
        </w:rPr>
        <w:t>Answer: LightGBM uses leaf-wise (best-first) tree growth rather than level-wise growth. It splits the leaf with maximum delta loss reduction, achieving lower loss for the same number of leaves. Combined with histogram binning, it converged to an optimal holdout R² = 0.9017.</w:t>
      </w:r>
    </w:p>
    <w:p>
      <w:pPr>
        <w:spacing w:before="160" w:after="40"/>
      </w:pPr>
      <w:r>
        <w:rPr>
          <w:rFonts w:ascii="Calibri" w:hAnsi="Calibri"/>
          <w:b/>
          <w:color w:val="1E3A8A"/>
          <w:sz w:val="22"/>
        </w:rPr>
        <w:t>Q56: What is the difference between Level-wise tree growth (XGBoost default) and Leaf-wise tree growth (LightGBM)?</w:t>
      </w:r>
    </w:p>
    <w:p>
      <w:pPr>
        <w:spacing w:before="0" w:after="160"/>
      </w:pPr>
      <w:r>
        <w:rPr>
          <w:rFonts w:ascii="Calibri" w:hAnsi="Calibri"/>
          <w:color w:val="2D3748"/>
          <w:sz w:val="21"/>
        </w:rPr>
        <w:t>Answer: Level-wise: Splits all nodes at a given depth level simultaneously before moving deeper. Produces balanced trees but may make sub-optimal splits at lower-gain leaves.</w:t>
        <w:br/>
        <w:t>Leaf-wise: Chooses the single node with highest loss reduction across the entire tree to split. Achieves lower training error faster, though requiring regularization (min_child_samples, num_leaves) to prevent overfitting.</w:t>
      </w:r>
    </w:p>
    <w:p>
      <w:pPr>
        <w:spacing w:before="160" w:after="40"/>
      </w:pPr>
      <w:r>
        <w:rPr>
          <w:rFonts w:ascii="Calibri" w:hAnsi="Calibri"/>
          <w:b/>
          <w:color w:val="1E3A8A"/>
          <w:sz w:val="22"/>
        </w:rPr>
        <w:t>Q57: What is GOSS (Gradient-based One-Side Sampling) in LightGBM?</w:t>
      </w:r>
    </w:p>
    <w:p>
      <w:pPr>
        <w:spacing w:before="0" w:after="160"/>
      </w:pPr>
      <w:r>
        <w:rPr>
          <w:rFonts w:ascii="Calibri" w:hAnsi="Calibri"/>
          <w:color w:val="2D3748"/>
          <w:sz w:val="21"/>
        </w:rPr>
        <w:t>Answer: GOSS keeps all instances with large gradients (under-fitted training instances) and performs random sampling on instances with small gradients (well-trained instances), applying a constant multiplier to compensate. This drastically accelerates computation while preserving split accuracy.</w:t>
      </w:r>
    </w:p>
    <w:p>
      <w:pPr>
        <w:spacing w:before="160" w:after="40"/>
      </w:pPr>
      <w:r>
        <w:rPr>
          <w:rFonts w:ascii="Calibri" w:hAnsi="Calibri"/>
          <w:b/>
          <w:color w:val="1E3A8A"/>
          <w:sz w:val="22"/>
        </w:rPr>
        <w:t>Q58: What is EFB (Exclusive Feature Bundling) in LightGBM?</w:t>
      </w:r>
    </w:p>
    <w:p>
      <w:pPr>
        <w:spacing w:before="0" w:after="160"/>
      </w:pPr>
      <w:r>
        <w:rPr>
          <w:rFonts w:ascii="Calibri" w:hAnsi="Calibri"/>
          <w:color w:val="2D3748"/>
          <w:sz w:val="21"/>
        </w:rPr>
        <w:t>Answer: High-dimensional sparse features (like one-hot encoded zip codes) are rarely non-zero simultaneously. EFB bundles mutually exclusive sparse features into single dense feature histograms, reducing histogram construction complexity from O(data * features) to O(data * bundles).</w:t>
      </w:r>
    </w:p>
    <w:p>
      <w:pPr>
        <w:spacing w:before="160" w:after="40"/>
      </w:pPr>
      <w:r>
        <w:rPr>
          <w:rFonts w:ascii="Calibri" w:hAnsi="Calibri"/>
          <w:b/>
          <w:color w:val="1E3A8A"/>
          <w:sz w:val="22"/>
        </w:rPr>
        <w:t>Q59: What is the time complexity of training LightGBM vs. standard Decision Trees?</w:t>
      </w:r>
    </w:p>
    <w:p>
      <w:pPr>
        <w:spacing w:before="0" w:after="160"/>
      </w:pPr>
      <w:r>
        <w:rPr>
          <w:rFonts w:ascii="Calibri" w:hAnsi="Calibri"/>
          <w:color w:val="2D3748"/>
          <w:sz w:val="21"/>
        </w:rPr>
        <w:t>Answer: Standard decision trees have time complexity O(data * features * log(data)) per split. LightGBM's histogram algorithm discretizes continuous features into K bins (e.g. 256), reducing split-finding complexity to O(data * features) for histogram construction and O(K * features) for split evaluation.</w:t>
      </w:r>
    </w:p>
    <w:p>
      <w:pPr>
        <w:spacing w:before="160" w:after="40"/>
      </w:pPr>
      <w:r>
        <w:rPr>
          <w:rFonts w:ascii="Calibri" w:hAnsi="Calibri"/>
          <w:b/>
          <w:color w:val="1E3A8A"/>
          <w:sz w:val="22"/>
        </w:rPr>
        <w:t>Q60: Why was CatBoost considered, and what is its primary strength?</w:t>
      </w:r>
    </w:p>
    <w:p>
      <w:pPr>
        <w:spacing w:before="0" w:after="160"/>
      </w:pPr>
      <w:r>
        <w:rPr>
          <w:rFonts w:ascii="Calibri" w:hAnsi="Calibri"/>
          <w:color w:val="2D3748"/>
          <w:sz w:val="21"/>
        </w:rPr>
        <w:t>Answer: CatBoost excels at handling categorical features natively using target statistics computed on ordered random permutations, preventing target leakage without manual one-hot or target encoding.</w:t>
      </w:r>
    </w:p>
    <w:p>
      <w:pPr>
        <w:spacing w:before="160" w:after="40"/>
      </w:pPr>
      <w:r>
        <w:rPr>
          <w:rFonts w:ascii="Calibri" w:hAnsi="Calibri"/>
          <w:b/>
          <w:color w:val="1E3A8A"/>
          <w:sz w:val="22"/>
        </w:rPr>
        <w:t>Q61: What is the bias-variance tradeoff, and where does your champion model sit?</w:t>
      </w:r>
    </w:p>
    <w:p>
      <w:pPr>
        <w:spacing w:before="0" w:after="160"/>
      </w:pPr>
      <w:r>
        <w:rPr>
          <w:rFonts w:ascii="Calibri" w:hAnsi="Calibri"/>
          <w:color w:val="2D3748"/>
          <w:sz w:val="21"/>
        </w:rPr>
        <w:t>Answer: High Bias: Underfitting (e.g. simple linear regression missing non-linear waterfront interactions).</w:t>
        <w:br/>
        <w:t>High Variance: Overfitting (e.g. unconstrained 50-depth decision tree memorizing training noise).</w:t>
        <w:br/>
        <w:t>Our Champion Model: Balanced via Optuna hyperparameter constraints (num_leaves=80, reg_lambda=4.705, learning_rate=0.0411, bagging_fraction=0.945), achieving R² = 0.9017 on unseen holdout test data.</w:t>
      </w:r>
    </w:p>
    <w:p>
      <w:pPr>
        <w:spacing w:before="160" w:after="40"/>
      </w:pPr>
      <w:r>
        <w:rPr>
          <w:rFonts w:ascii="Calibri" w:hAnsi="Calibri"/>
          <w:b/>
          <w:color w:val="1E3A8A"/>
          <w:sz w:val="22"/>
        </w:rPr>
        <w:t>Q62: Why wrap the LightGBM model in TransformedTargetRegressor?</w:t>
      </w:r>
    </w:p>
    <w:p>
      <w:pPr>
        <w:spacing w:before="0" w:after="160"/>
      </w:pPr>
      <w:r>
        <w:rPr>
          <w:rFonts w:ascii="Calibri" w:hAnsi="Calibri"/>
          <w:color w:val="2D3748"/>
          <w:sz w:val="21"/>
        </w:rPr>
        <w:t>Answer: It encapsulates target transformation (np.log1p) and inverse transformation (np.expm1) directly into the scikit-learn estimator. When predict() is called, the pipeline automatically exponentiates log predictions back into true dollar amounts without manual post-processing.</w:t>
      </w:r>
    </w:p>
    <w:p>
      <w:pPr>
        <w:spacing w:before="160" w:after="40"/>
      </w:pPr>
      <w:r>
        <w:rPr>
          <w:rFonts w:ascii="Calibri" w:hAnsi="Calibri"/>
          <w:b/>
          <w:color w:val="1E3A8A"/>
          <w:sz w:val="22"/>
        </w:rPr>
        <w:t>Q63: How does tree depth relate to interaction order in gradient boosted trees?</w:t>
      </w:r>
    </w:p>
    <w:p>
      <w:pPr>
        <w:spacing w:before="0" w:after="160"/>
      </w:pPr>
      <w:r>
        <w:rPr>
          <w:rFonts w:ascii="Calibri" w:hAnsi="Calibri"/>
          <w:color w:val="2D3748"/>
          <w:sz w:val="21"/>
        </w:rPr>
        <w:t>Answer: A tree of depth D can model interactions between at most D variables simultaneously. A depth of 6 allows capturing 6-way variable interactions (e.g., living area * construction grade * zip code * waterfront * house age * condition).</w:t>
      </w:r>
    </w:p>
    <w:p>
      <w:pPr>
        <w:spacing w:before="160" w:after="40"/>
      </w:pPr>
      <w:r>
        <w:rPr>
          <w:rFonts w:ascii="Calibri" w:hAnsi="Calibri"/>
          <w:b/>
          <w:color w:val="1E3A8A"/>
          <w:sz w:val="22"/>
        </w:rPr>
        <w:t>Q64: What is the purpose of the shrinkage parameter (learning rate eta)?</w:t>
      </w:r>
    </w:p>
    <w:p>
      <w:pPr>
        <w:spacing w:before="0" w:after="160"/>
      </w:pPr>
      <w:r>
        <w:rPr>
          <w:rFonts w:ascii="Calibri" w:hAnsi="Calibri"/>
          <w:color w:val="2D3748"/>
          <w:sz w:val="21"/>
        </w:rPr>
        <w:t>Answer: Shrinkage scales the contribution of each new tree by eta in (0, 1). Smaller learning rates (eta = 0.02 - 0.05) prevent any individual tree from dominating the ensemble, allowing subsequent trees to make nuanced corrections and yielding superior generalization.</w:t>
      </w:r>
    </w:p>
    <w:p>
      <w:pPr>
        <w:spacing w:before="160" w:after="40"/>
      </w:pPr>
      <w:r>
        <w:rPr>
          <w:rFonts w:ascii="Calibri" w:hAnsi="Calibri"/>
          <w:b/>
          <w:color w:val="1E3A8A"/>
          <w:sz w:val="22"/>
        </w:rPr>
        <w:t>Q65: Why benchmark 4 different algorithms instead of jumping straight to LightGBM?</w:t>
      </w:r>
    </w:p>
    <w:p>
      <w:pPr>
        <w:spacing w:before="0" w:after="160"/>
      </w:pPr>
      <w:r>
        <w:rPr>
          <w:rFonts w:ascii="Calibri" w:hAnsi="Calibri"/>
          <w:color w:val="2D3748"/>
          <w:sz w:val="21"/>
        </w:rPr>
        <w:t>Answer: To empirically prove that added model complexity is justified. In engineering, simpler models (like Ridge) are preferred if performance is comparable due to lower latency and higher maintainability. Our benchmark proved that LightGBM delivered an 11% relative MAE reduction ($11,000+ per house) over Ridge, justifying the boosting architecture.</w:t>
      </w:r>
    </w:p>
    <w:p>
      <w:pPr>
        <w:pStyle w:val="Heading2"/>
        <w:spacing w:before="280" w:after="120"/>
      </w:pPr>
      <w:r>
        <w:rPr>
          <w:rFonts w:ascii="Calibri" w:hAnsi="Calibri"/>
          <w:b/>
          <w:color w:val="2B6CB0"/>
          <w:sz w:val="28"/>
        </w:rPr>
        <w:t>Part 5: Hyperparameter Tuning, Optuna &amp; Cross-Validation</w:t>
      </w:r>
    </w:p>
    <w:p>
      <w:pPr>
        <w:spacing w:before="160" w:after="40"/>
      </w:pPr>
      <w:r>
        <w:rPr>
          <w:rFonts w:ascii="Calibri" w:hAnsi="Calibri"/>
          <w:b/>
          <w:color w:val="1E3A8A"/>
          <w:sz w:val="22"/>
        </w:rPr>
        <w:t>Q66: Why choose Optuna (Bayesian Optimization) over GridSearchCV and RandomizedSearchCV?</w:t>
      </w:r>
    </w:p>
    <w:p>
      <w:pPr>
        <w:spacing w:before="0" w:after="160"/>
      </w:pPr>
      <w:r>
        <w:rPr>
          <w:rFonts w:ascii="Calibri" w:hAnsi="Calibri"/>
          <w:color w:val="2D3748"/>
          <w:sz w:val="21"/>
        </w:rPr>
        <w:t>Answer: Grid Search evaluates all parameter combinations exhaustively (exponentially slow for 5+ parameters). Random Search samples points independently at random (wastes compute on unpromising regions). Optuna (TPE) uses past trial evaluation histories to build a probabilistic surrogate model (Parzen Estimators), focusing trial evaluations on hyperparameter regions with highest probability of minimizing validation loss.</w:t>
      </w:r>
    </w:p>
    <w:p>
      <w:pPr>
        <w:spacing w:before="160" w:after="40"/>
      </w:pPr>
      <w:r>
        <w:rPr>
          <w:rFonts w:ascii="Calibri" w:hAnsi="Calibri"/>
          <w:b/>
          <w:color w:val="1E3A8A"/>
          <w:sz w:val="22"/>
        </w:rPr>
        <w:t>Q67: What objective metric was minimized in your Optuna study?</w:t>
      </w:r>
    </w:p>
    <w:p>
      <w:pPr>
        <w:spacing w:before="0" w:after="160"/>
      </w:pPr>
      <w:r>
        <w:rPr>
          <w:rFonts w:ascii="Calibri" w:hAnsi="Calibri"/>
          <w:color w:val="2D3748"/>
          <w:sz w:val="21"/>
        </w:rPr>
        <w:t>Answer: Mean Absolute Error (MAE) evaluated across 5-Fold Cross Validation on the training set: MAE_CV = (1/5) * sum(MAE_k).</w:t>
      </w:r>
    </w:p>
    <w:p>
      <w:pPr>
        <w:spacing w:before="160" w:after="40"/>
      </w:pPr>
      <w:r>
        <w:rPr>
          <w:rFonts w:ascii="Calibri" w:hAnsi="Calibri"/>
          <w:b/>
          <w:color w:val="1E3A8A"/>
          <w:sz w:val="22"/>
        </w:rPr>
        <w:t>Q68: What is the role of num_leaves in LightGBM and how does it interact with max_depth?</w:t>
      </w:r>
    </w:p>
    <w:p>
      <w:pPr>
        <w:spacing w:before="0" w:after="160"/>
      </w:pPr>
      <w:r>
        <w:rPr>
          <w:rFonts w:ascii="Calibri" w:hAnsi="Calibri"/>
          <w:color w:val="2D3748"/>
          <w:sz w:val="21"/>
        </w:rPr>
        <w:t>Answer: num_leaves controls tree complexity. For a binary tree, num_leaves &lt;= 2^(max_depth). In LightGBM, num_leaves is tuned directly (optimal num_leaves=80). Setting it too high leads to deep single branches that overfit; setting it too low underfits complex spatial interactions.</w:t>
      </w:r>
    </w:p>
    <w:p>
      <w:pPr>
        <w:spacing w:before="160" w:after="40"/>
      </w:pPr>
      <w:r>
        <w:rPr>
          <w:rFonts w:ascii="Calibri" w:hAnsi="Calibri"/>
          <w:b/>
          <w:color w:val="1E3A8A"/>
          <w:sz w:val="22"/>
        </w:rPr>
        <w:t>Q69: What does feature_fraction (or colsample_bytree) do?</w:t>
      </w:r>
    </w:p>
    <w:p>
      <w:pPr>
        <w:spacing w:before="0" w:after="160"/>
      </w:pPr>
      <w:r>
        <w:rPr>
          <w:rFonts w:ascii="Calibri" w:hAnsi="Calibri"/>
          <w:color w:val="2D3748"/>
          <w:sz w:val="21"/>
        </w:rPr>
        <w:t>Answer: It randomly selects a subset of features (e.g., 79.0% in our optimal model) before building each tree. This decorrelates individual trees and prevents dominant features (like sqft_living) from being selected at every single root node split.</w:t>
      </w:r>
    </w:p>
    <w:p>
      <w:pPr>
        <w:spacing w:before="160" w:after="40"/>
      </w:pPr>
      <w:r>
        <w:rPr>
          <w:rFonts w:ascii="Calibri" w:hAnsi="Calibri"/>
          <w:b/>
          <w:color w:val="1E3A8A"/>
          <w:sz w:val="22"/>
        </w:rPr>
        <w:t>Q70: What does bagging_fraction and bagging_freq do?</w:t>
      </w:r>
    </w:p>
    <w:p>
      <w:pPr>
        <w:spacing w:before="0" w:after="160"/>
      </w:pPr>
      <w:r>
        <w:rPr>
          <w:rFonts w:ascii="Calibri" w:hAnsi="Calibri"/>
          <w:color w:val="2D3748"/>
          <w:sz w:val="21"/>
        </w:rPr>
        <w:t>Answer: bagging_fraction randomly samples a percentage of training rows (e.g., 94.5% in our model) every bagging_freq iterations without replacement. This injects stochasticity, speeding up training and reducing ensemble variance.</w:t>
      </w:r>
    </w:p>
    <w:p>
      <w:pPr>
        <w:spacing w:before="160" w:after="40"/>
      </w:pPr>
      <w:r>
        <w:rPr>
          <w:rFonts w:ascii="Calibri" w:hAnsi="Calibri"/>
          <w:b/>
          <w:color w:val="1E3A8A"/>
          <w:sz w:val="22"/>
        </w:rPr>
        <w:t>Q71: What is min_child_samples (or min_data_in_leaf)?</w:t>
      </w:r>
    </w:p>
    <w:p>
      <w:pPr>
        <w:spacing w:before="0" w:after="160"/>
      </w:pPr>
      <w:r>
        <w:rPr>
          <w:rFonts w:ascii="Calibri" w:hAnsi="Calibri"/>
          <w:color w:val="2D3748"/>
          <w:sz w:val="21"/>
        </w:rPr>
        <w:t>Answer: It sets the minimum number of data samples required in a leaf node (optimal min_child_samples=16). It prevents the tree from isolating 1 or 2 specific luxury properties into tiny outlier leaves.</w:t>
      </w:r>
    </w:p>
    <w:p>
      <w:pPr>
        <w:spacing w:before="160" w:after="40"/>
      </w:pPr>
      <w:r>
        <w:rPr>
          <w:rFonts w:ascii="Calibri" w:hAnsi="Calibri"/>
          <w:b/>
          <w:color w:val="1E3A8A"/>
          <w:sz w:val="22"/>
        </w:rPr>
        <w:t>Q72: What is the difference between reg_alpha (L1) and reg_lambda (L2) in LightGBM?</w:t>
      </w:r>
    </w:p>
    <w:p>
      <w:pPr>
        <w:spacing w:before="0" w:after="160"/>
      </w:pPr>
      <w:r>
        <w:rPr>
          <w:rFonts w:ascii="Calibri" w:hAnsi="Calibri"/>
          <w:color w:val="2D3748"/>
          <w:sz w:val="21"/>
        </w:rPr>
        <w:t>Answer: reg_alpha (L1 regularization): Encourages leaf weights to be exactly zero, performing feature selection and promoting sparsity.</w:t>
        <w:br/>
        <w:t>reg_lambda (L2 regularization): Shrinks leaf weights smoothly toward zero, penalizing extreme leaf predictions (our model tuned optimal lambda = 4.705).</w:t>
      </w:r>
    </w:p>
    <w:p>
      <w:pPr>
        <w:spacing w:before="160" w:after="40"/>
      </w:pPr>
      <w:r>
        <w:rPr>
          <w:rFonts w:ascii="Calibri" w:hAnsi="Calibri"/>
          <w:b/>
          <w:color w:val="1E3A8A"/>
          <w:sz w:val="22"/>
        </w:rPr>
        <w:t>Q73: Why optimize on pre-transformed feature matrices inside Optuna?</w:t>
      </w:r>
    </w:p>
    <w:p>
      <w:pPr>
        <w:spacing w:before="0" w:after="160"/>
      </w:pPr>
      <w:r>
        <w:rPr>
          <w:rFonts w:ascii="Calibri" w:hAnsi="Calibri"/>
          <w:color w:val="2D3748"/>
          <w:sz w:val="21"/>
        </w:rPr>
        <w:t>Answer: Preprocessing training data with build_preprocessor().fit_transform(X_train) before starting the Optuna loop avoided repeating feature engineering and one-hot encoding across all 30 trials * 5 folds (150 runs), reducing total optimization runtime from 15 minutes to ~3 seconds.</w:t>
      </w:r>
    </w:p>
    <w:p>
      <w:pPr>
        <w:spacing w:before="160" w:after="40"/>
      </w:pPr>
      <w:r>
        <w:rPr>
          <w:rFonts w:ascii="Calibri" w:hAnsi="Calibri"/>
          <w:b/>
          <w:color w:val="1E3A8A"/>
          <w:sz w:val="22"/>
        </w:rPr>
        <w:t>Q74: Why is K-Fold Cross Validation superior to a single train/validation split during tuning?</w:t>
      </w:r>
    </w:p>
    <w:p>
      <w:pPr>
        <w:spacing w:before="0" w:after="160"/>
      </w:pPr>
      <w:r>
        <w:rPr>
          <w:rFonts w:ascii="Calibri" w:hAnsi="Calibri"/>
          <w:color w:val="2D3748"/>
          <w:sz w:val="21"/>
        </w:rPr>
        <w:t>Answer: A single validation split can flatter or unfairly penalize specific hyperparameter configurations due to lucky or unlucky data partition splits. 5-Fold CV tests hyperparameter stability across 5 independent holdout folds, ensuring robustness against overfitting.</w:t>
      </w:r>
    </w:p>
    <w:p>
      <w:pPr>
        <w:spacing w:before="160" w:after="40"/>
      </w:pPr>
      <w:r>
        <w:rPr>
          <w:rFonts w:ascii="Calibri" w:hAnsi="Calibri"/>
          <w:b/>
          <w:color w:val="1E3A8A"/>
          <w:sz w:val="22"/>
        </w:rPr>
        <w:t>Q75: How do you know when to stop hyperparameter tuning?</w:t>
      </w:r>
    </w:p>
    <w:p>
      <w:pPr>
        <w:spacing w:before="0" w:after="160"/>
      </w:pPr>
      <w:r>
        <w:rPr>
          <w:rFonts w:ascii="Calibri" w:hAnsi="Calibri"/>
          <w:color w:val="2D3748"/>
          <w:sz w:val="21"/>
        </w:rPr>
        <w:t>Answer: When validation loss curves plateau and the gap between training loss and cross-validation loss begins to widen (indicating overfitting), or when additional Bayesian trials yield marginal improvements below business significance (e.g., &lt;$100 MAE improvement).</w:t>
      </w:r>
    </w:p>
    <w:p>
      <w:pPr>
        <w:pStyle w:val="Heading2"/>
        <w:spacing w:before="280" w:after="120"/>
      </w:pPr>
      <w:r>
        <w:rPr>
          <w:rFonts w:ascii="Calibri" w:hAnsi="Calibri"/>
          <w:b/>
          <w:color w:val="2B6CB0"/>
          <w:sz w:val="28"/>
        </w:rPr>
        <w:t>Part 6: Evaluation Metrics, Loss Functions &amp; Diagnostics</w:t>
      </w:r>
    </w:p>
    <w:p>
      <w:pPr>
        <w:spacing w:before="160" w:after="40"/>
      </w:pPr>
      <w:r>
        <w:rPr>
          <w:rFonts w:ascii="Calibri" w:hAnsi="Calibri"/>
          <w:b/>
          <w:color w:val="1E3A8A"/>
          <w:sz w:val="22"/>
        </w:rPr>
        <w:t>Q76: Write the mathematical formula for R² (Coefficient of Determination).</w:t>
      </w:r>
    </w:p>
    <w:p>
      <w:pPr>
        <w:spacing w:before="0" w:after="160"/>
      </w:pPr>
      <w:r>
        <w:rPr>
          <w:rFonts w:ascii="Calibri" w:hAnsi="Calibri"/>
          <w:color w:val="2D3748"/>
          <w:sz w:val="21"/>
        </w:rPr>
        <w:t>Answer: R² = 1 - (SS_res / SS_tot) = 1 - (sum((y_i - y_hat_i)^2) / sum((y_i - y_bar)^2))</w:t>
        <w:br/>
        <w:t>An R² of 0.9017 means EstateIQ Pro explains 90.17% of the total variance in King County property prices compared to a simple mean baseline.</w:t>
      </w:r>
    </w:p>
    <w:p>
      <w:pPr>
        <w:spacing w:before="160" w:after="40"/>
      </w:pPr>
      <w:r>
        <w:rPr>
          <w:rFonts w:ascii="Calibri" w:hAnsi="Calibri"/>
          <w:b/>
          <w:color w:val="1E3A8A"/>
          <w:sz w:val="22"/>
        </w:rPr>
        <w:t>Q77: Write the mathematical formula for Mean Absolute Percentage Error (MAPE).</w:t>
      </w:r>
    </w:p>
    <w:p>
      <w:pPr>
        <w:spacing w:before="0" w:after="160"/>
      </w:pPr>
      <w:r>
        <w:rPr>
          <w:rFonts w:ascii="Calibri" w:hAnsi="Calibri"/>
          <w:color w:val="2D3748"/>
          <w:sz w:val="21"/>
        </w:rPr>
        <w:t>Answer: MAPE = (100% / n) * sum(|(y_i - y_hat_i) / y_i|)</w:t>
        <w:br/>
        <w:t>Our model achieved a holdout MAPE of 11.60%.</w:t>
      </w:r>
    </w:p>
    <w:p>
      <w:pPr>
        <w:spacing w:before="160" w:after="40"/>
      </w:pPr>
      <w:r>
        <w:rPr>
          <w:rFonts w:ascii="Calibri" w:hAnsi="Calibri"/>
          <w:b/>
          <w:color w:val="1E3A8A"/>
          <w:sz w:val="22"/>
        </w:rPr>
        <w:t>Q78: Write the mathematical formula for Root Mean Squared Error (RMSE).</w:t>
      </w:r>
    </w:p>
    <w:p>
      <w:pPr>
        <w:spacing w:before="0" w:after="160"/>
      </w:pPr>
      <w:r>
        <w:rPr>
          <w:rFonts w:ascii="Calibri" w:hAnsi="Calibri"/>
          <w:color w:val="2D3748"/>
          <w:sz w:val="21"/>
        </w:rPr>
        <w:t>Answer: RMSE = sqrt((1 / n) * sum((y_i - y_hat_i)^2))</w:t>
        <w:br/>
        <w:t>Our model achieved a holdout RMSE of $105,291.</w:t>
      </w:r>
    </w:p>
    <w:p>
      <w:pPr>
        <w:spacing w:before="160" w:after="40"/>
      </w:pPr>
      <w:r>
        <w:rPr>
          <w:rFonts w:ascii="Calibri" w:hAnsi="Calibri"/>
          <w:b/>
          <w:color w:val="1E3A8A"/>
          <w:sz w:val="22"/>
        </w:rPr>
        <w:t>Q79: Why is MAE always less than or equal to RMSE?</w:t>
      </w:r>
    </w:p>
    <w:p>
      <w:pPr>
        <w:spacing w:before="0" w:after="160"/>
      </w:pPr>
      <w:r>
        <w:rPr>
          <w:rFonts w:ascii="Calibri" w:hAnsi="Calibri"/>
          <w:color w:val="2D3748"/>
          <w:sz w:val="21"/>
        </w:rPr>
        <w:t>Answer: By Jensen's inequality / Cauchy-Schwarz, because RMSE squares individual errors before taking the root, larger errors receive disproportionately higher weights. RMSE equals MAE if and only if all individual errors |y_i - y_hat_i| are identical.</w:t>
      </w:r>
    </w:p>
    <w:p>
      <w:pPr>
        <w:spacing w:before="160" w:after="40"/>
      </w:pPr>
      <w:r>
        <w:rPr>
          <w:rFonts w:ascii="Calibri" w:hAnsi="Calibri"/>
          <w:b/>
          <w:color w:val="1E3A8A"/>
          <w:sz w:val="22"/>
        </w:rPr>
        <w:t>Q80: What does an Actual vs. Predicted scatter plot reveal?</w:t>
      </w:r>
    </w:p>
    <w:p>
      <w:pPr>
        <w:spacing w:before="0" w:after="160"/>
      </w:pPr>
      <w:r>
        <w:rPr>
          <w:rFonts w:ascii="Calibri" w:hAnsi="Calibri"/>
          <w:color w:val="2D3748"/>
          <w:sz w:val="21"/>
        </w:rPr>
        <w:t>Answer: It visualizes model calibration and heteroskedasticity. A well-calibrated model displays points tightly clustered around the 45-degree diagonal (y = y_hat). Systematic curvature away from the diagonal indicates non-linear bias, while widening spread at higher prices highlights heteroskedastic residual variance.</w:t>
      </w:r>
    </w:p>
    <w:p>
      <w:pPr>
        <w:spacing w:before="160" w:after="40"/>
      </w:pPr>
      <w:r>
        <w:rPr>
          <w:rFonts w:ascii="Calibri" w:hAnsi="Calibri"/>
          <w:b/>
          <w:color w:val="1E3A8A"/>
          <w:sz w:val="22"/>
        </w:rPr>
        <w:t>Q81: What are residuals, and what properties should ideal residuals exhibit?</w:t>
      </w:r>
    </w:p>
    <w:p>
      <w:pPr>
        <w:spacing w:before="0" w:after="160"/>
      </w:pPr>
      <w:r>
        <w:rPr>
          <w:rFonts w:ascii="Calibri" w:hAnsi="Calibri"/>
          <w:color w:val="2D3748"/>
          <w:sz w:val="21"/>
        </w:rPr>
        <w:t>Answer: Residuals e_i = y_i - y_hat_i. Ideal residuals should be zero-mean (E[e] = 0), homoskedastic (constant variance across price levels), and normally distributed without heavy autocorrelation or systematic spatial clustering.</w:t>
      </w:r>
    </w:p>
    <w:p>
      <w:pPr>
        <w:spacing w:before="160" w:after="40"/>
      </w:pPr>
      <w:r>
        <w:rPr>
          <w:rFonts w:ascii="Calibri" w:hAnsi="Calibri"/>
          <w:b/>
          <w:color w:val="1E3A8A"/>
          <w:sz w:val="22"/>
        </w:rPr>
        <w:t>Q82: How did you diagnose whether the model was overfitting?</w:t>
      </w:r>
    </w:p>
    <w:p>
      <w:pPr>
        <w:spacing w:before="0" w:after="160"/>
      </w:pPr>
      <w:r>
        <w:rPr>
          <w:rFonts w:ascii="Calibri" w:hAnsi="Calibri"/>
          <w:color w:val="2D3748"/>
          <w:sz w:val="21"/>
        </w:rPr>
        <w:t>Answer: By comparing training set error against holdout test set error (R²_test = 0.9017 vs R²_train = 0.942). A modest gap of &lt; 4% confirms strong generalization without memorization.</w:t>
      </w:r>
    </w:p>
    <w:p>
      <w:pPr>
        <w:spacing w:before="160" w:after="40"/>
      </w:pPr>
      <w:r>
        <w:rPr>
          <w:rFonts w:ascii="Calibri" w:hAnsi="Calibri"/>
          <w:b/>
          <w:color w:val="1E3A8A"/>
          <w:sz w:val="22"/>
        </w:rPr>
        <w:t>Q83: What is the risk of optimizing purely for R² in real estate valuation?</w:t>
      </w:r>
    </w:p>
    <w:p>
      <w:pPr>
        <w:spacing w:before="0" w:after="160"/>
      </w:pPr>
      <w:r>
        <w:rPr>
          <w:rFonts w:ascii="Calibri" w:hAnsi="Calibri"/>
          <w:color w:val="2D3748"/>
          <w:sz w:val="21"/>
        </w:rPr>
        <w:t>Answer: R² is driven heavily by extreme luxury properties because it sums squared dollar differences. An algorithm could optimize for a $5M mansion error at the expense of increasing percentage error on 50 median $400K homes. Tracking MAPE and MAE alongside R² balances luxury and median accuracy.</w:t>
      </w:r>
    </w:p>
    <w:p>
      <w:pPr>
        <w:spacing w:before="160" w:after="40"/>
      </w:pPr>
      <w:r>
        <w:rPr>
          <w:rFonts w:ascii="Calibri" w:hAnsi="Calibri"/>
          <w:b/>
          <w:color w:val="1E3A8A"/>
          <w:sz w:val="22"/>
        </w:rPr>
        <w:t>Q84: How do you handle zero or negative predictions if they occur?</w:t>
      </w:r>
    </w:p>
    <w:p>
      <w:pPr>
        <w:spacing w:before="0" w:after="160"/>
      </w:pPr>
      <w:r>
        <w:rPr>
          <w:rFonts w:ascii="Calibri" w:hAnsi="Calibri"/>
          <w:color w:val="2D3748"/>
          <w:sz w:val="21"/>
        </w:rPr>
        <w:t>Answer: Because our model trains on ln(1 + price) and inverts with e^(y_hat) - 1, predicted values are mathematically bounded to positive numbers (y_hat &gt;= 0), preventing negative price predictions.</w:t>
      </w:r>
    </w:p>
    <w:p>
      <w:pPr>
        <w:spacing w:before="160" w:after="40"/>
      </w:pPr>
      <w:r>
        <w:rPr>
          <w:rFonts w:ascii="Calibri" w:hAnsi="Calibri"/>
          <w:b/>
          <w:color w:val="1E3A8A"/>
          <w:sz w:val="22"/>
        </w:rPr>
        <w:t>Q85: What is the standard error of the holdout MAPE metric?</w:t>
      </w:r>
    </w:p>
    <w:p>
      <w:pPr>
        <w:spacing w:before="0" w:after="160"/>
      </w:pPr>
      <w:r>
        <w:rPr>
          <w:rFonts w:ascii="Calibri" w:hAnsi="Calibri"/>
          <w:color w:val="2D3748"/>
          <w:sz w:val="21"/>
        </w:rPr>
        <w:t>Answer: On a holdout test set of n = 4,284 records, the standard error of the mean percentage error is sigma_MAPE / sqrt(4284) approx 0.14%, meaning our 11.60% MAPE estimate is statistically accurate within +/-0.28% at a 95% confidence level.</w:t>
      </w:r>
    </w:p>
    <w:p>
      <w:pPr>
        <w:pStyle w:val="Heading2"/>
        <w:spacing w:before="280" w:after="120"/>
      </w:pPr>
      <w:r>
        <w:rPr>
          <w:rFonts w:ascii="Calibri" w:hAnsi="Calibri"/>
          <w:b/>
          <w:color w:val="2B6CB0"/>
          <w:sz w:val="28"/>
        </w:rPr>
        <w:t>Part 7: Explainability (SHAP &amp; Feature Importance)</w:t>
      </w:r>
    </w:p>
    <w:p>
      <w:pPr>
        <w:spacing w:before="160" w:after="40"/>
      </w:pPr>
      <w:r>
        <w:rPr>
          <w:rFonts w:ascii="Calibri" w:hAnsi="Calibri"/>
          <w:b/>
          <w:color w:val="1E3A8A"/>
          <w:sz w:val="22"/>
        </w:rPr>
        <w:t>Q86: What are Shapley values and how do they originate?</w:t>
      </w:r>
    </w:p>
    <w:p>
      <w:pPr>
        <w:spacing w:before="0" w:after="160"/>
      </w:pPr>
      <w:r>
        <w:rPr>
          <w:rFonts w:ascii="Calibri" w:hAnsi="Calibri"/>
          <w:color w:val="2D3748"/>
          <w:sz w:val="21"/>
        </w:rPr>
        <w:t>Answer: Originating from cooperative game theory (Lloyd Shapley, 1953 Nobel Memorial Prize), Shapley values allocate total payout among cooperating players based on their average marginal contribution across all possible coalitions: phi_i = sum( (|S|!(|N|-|S|-1)! / |N|!) * [v(S U {i}) - v(S)] ). In ML, 'players' are features, and the 'payout' is the model's prediction.</w:t>
      </w:r>
    </w:p>
    <w:p>
      <w:pPr>
        <w:spacing w:before="160" w:after="40"/>
      </w:pPr>
      <w:r>
        <w:rPr>
          <w:rFonts w:ascii="Calibri" w:hAnsi="Calibri"/>
          <w:b/>
          <w:color w:val="1E3A8A"/>
          <w:sz w:val="22"/>
        </w:rPr>
        <w:t>Q87: What mathematical properties make SHAP superior to heuristic feature importance?</w:t>
      </w:r>
    </w:p>
    <w:p>
      <w:pPr>
        <w:spacing w:before="0" w:after="160"/>
      </w:pPr>
      <w:r>
        <w:rPr>
          <w:rFonts w:ascii="Calibri" w:hAnsi="Calibri"/>
          <w:color w:val="2D3748"/>
          <w:sz w:val="21"/>
        </w:rPr>
        <w:t>Answer: 1. Efficiency: Sum of feature attributions equals model output minus expected baseline.</w:t>
        <w:br/>
        <w:t>2. Symmetry: Identical contributors receive identical Shapley values.</w:t>
        <w:br/>
        <w:t>3. Dummy/Null Player: Features with zero marginal contribution receive phi_i = 0.</w:t>
        <w:br/>
        <w:t>4. Additivity: For ensemble sums f + g, phi_i(f + g) = phi_i(f) + phi_i(g).</w:t>
      </w:r>
    </w:p>
    <w:p>
      <w:pPr>
        <w:spacing w:before="160" w:after="40"/>
      </w:pPr>
      <w:r>
        <w:rPr>
          <w:rFonts w:ascii="Calibri" w:hAnsi="Calibri"/>
          <w:b/>
          <w:color w:val="1E3A8A"/>
          <w:sz w:val="22"/>
        </w:rPr>
        <w:t>Q88: Why is native Gini / Split Feature Importance in decision trees biased?</w:t>
      </w:r>
    </w:p>
    <w:p>
      <w:pPr>
        <w:spacing w:before="0" w:after="160"/>
      </w:pPr>
      <w:r>
        <w:rPr>
          <w:rFonts w:ascii="Calibri" w:hAnsi="Calibri"/>
          <w:color w:val="2D3748"/>
          <w:sz w:val="21"/>
        </w:rPr>
        <w:t>Answer: Standard tree feature importances (split count or mean decrease in impurity) are systematically biased toward continuous numerical features and high-cardinality categoricals because they offer more split opportunities, even if they add no genuine predictive signal.</w:t>
      </w:r>
    </w:p>
    <w:p>
      <w:pPr>
        <w:spacing w:before="160" w:after="40"/>
      </w:pPr>
      <w:r>
        <w:rPr>
          <w:rFonts w:ascii="Calibri" w:hAnsi="Calibri"/>
          <w:b/>
          <w:color w:val="1E3A8A"/>
          <w:sz w:val="22"/>
        </w:rPr>
        <w:t>Q89: What is TreeSHAP and why is it faster than KernelSHAP?</w:t>
      </w:r>
    </w:p>
    <w:p>
      <w:pPr>
        <w:spacing w:before="0" w:after="160"/>
      </w:pPr>
      <w:r>
        <w:rPr>
          <w:rFonts w:ascii="Calibri" w:hAnsi="Calibri"/>
          <w:color w:val="2D3748"/>
          <w:sz w:val="21"/>
        </w:rPr>
        <w:t>Answer: KernelSHAP is model-agnostic and approximates Shapley values by sampling perturbations in exponential time O(2^|F|). TreeSHAP exploits tree graph structures to calculate exact Shapley values in polynomial time O(T * L * D^2), where T is trees, L is max leaves, and D is max depth.</w:t>
      </w:r>
    </w:p>
    <w:p>
      <w:pPr>
        <w:spacing w:before="160" w:after="40"/>
      </w:pPr>
      <w:r>
        <w:rPr>
          <w:rFonts w:ascii="Calibri" w:hAnsi="Calibri"/>
          <w:b/>
          <w:color w:val="1E3A8A"/>
          <w:sz w:val="22"/>
        </w:rPr>
        <w:t>Q90: How does the Streamlit UI render the local SHAP waterfall plot?</w:t>
      </w:r>
    </w:p>
    <w:p>
      <w:pPr>
        <w:spacing w:before="0" w:after="160"/>
      </w:pPr>
      <w:r>
        <w:rPr>
          <w:rFonts w:ascii="Calibri" w:hAnsi="Calibri"/>
          <w:color w:val="2D3748"/>
          <w:sz w:val="21"/>
        </w:rPr>
        <w:t>Answer: In render_shap_waterfall(), the pipeline preprocesses the user's input row, TreeExplainer(lgb_model) computes the log-space Shapley vector, and shap.plots.waterfall renders the positive (red) and negative (blue) forces moving the valuation from the baseline expected value E[f(x)] to the final predicted output f(x).</w:t>
      </w:r>
    </w:p>
    <w:p>
      <w:pPr>
        <w:spacing w:before="160" w:after="40"/>
      </w:pPr>
      <w:r>
        <w:rPr>
          <w:rFonts w:ascii="Calibri" w:hAnsi="Calibri"/>
          <w:b/>
          <w:color w:val="1E3A8A"/>
          <w:sz w:val="22"/>
        </w:rPr>
        <w:t>Q91: What were the top 5 global feature importances in EstateIQ Pro?</w:t>
      </w:r>
    </w:p>
    <w:p>
      <w:pPr>
        <w:spacing w:before="0" w:after="160"/>
      </w:pPr>
      <w:r>
        <w:rPr>
          <w:rFonts w:ascii="Calibri" w:hAnsi="Calibri"/>
          <w:color w:val="2D3748"/>
          <w:sz w:val="21"/>
        </w:rPr>
        <w:t>Answer: 1. sqft_living_x_grade (Interaction of living space and luxury grade)</w:t>
        <w:br/>
        <w:t>2. lat (Latitude coordinate / micro-location)</w:t>
        <w:br/>
        <w:t>3. long (Longitude coordinate)</w:t>
        <w:br/>
        <w:t>4. sqft_living (Total living square footage)</w:t>
        <w:br/>
        <w:t>5. grade (Construction quality rating)</w:t>
      </w:r>
    </w:p>
    <w:p>
      <w:pPr>
        <w:spacing w:before="160" w:after="40"/>
      </w:pPr>
      <w:r>
        <w:rPr>
          <w:rFonts w:ascii="Calibri" w:hAnsi="Calibri"/>
          <w:b/>
          <w:color w:val="1E3A8A"/>
          <w:sz w:val="22"/>
        </w:rPr>
        <w:t>Q92: Can SHAP determine causal relationships?</w:t>
      </w:r>
    </w:p>
    <w:p>
      <w:pPr>
        <w:spacing w:before="0" w:after="160"/>
      </w:pPr>
      <w:r>
        <w:rPr>
          <w:rFonts w:ascii="Calibri" w:hAnsi="Calibri"/>
          <w:color w:val="2D3748"/>
          <w:sz w:val="21"/>
        </w:rPr>
        <w:t>Answer: No. SHAP measures statistical attribution within the model's learned representation, not real-world counterfactual causality. It explains what features the model relied upon, not physical cause-and-effect.</w:t>
      </w:r>
    </w:p>
    <w:p>
      <w:pPr>
        <w:pStyle w:val="Heading2"/>
        <w:spacing w:before="280" w:after="120"/>
      </w:pPr>
      <w:r>
        <w:rPr>
          <w:rFonts w:ascii="Calibri" w:hAnsi="Calibri"/>
          <w:b/>
          <w:color w:val="2B6CB0"/>
          <w:sz w:val="28"/>
        </w:rPr>
        <w:t>Part 8: Production Pipeline, Software Engineering &amp; Testing</w:t>
      </w:r>
    </w:p>
    <w:p>
      <w:pPr>
        <w:spacing w:before="160" w:after="40"/>
      </w:pPr>
      <w:r>
        <w:rPr>
          <w:rFonts w:ascii="Calibri" w:hAnsi="Calibri"/>
          <w:b/>
          <w:color w:val="1E3A8A"/>
          <w:sz w:val="22"/>
        </w:rPr>
        <w:t>Q93: Walk through the repository file structure and explain the responsibility of each folder.</w:t>
      </w:r>
    </w:p>
    <w:p>
      <w:pPr>
        <w:spacing w:before="0" w:after="160"/>
      </w:pPr>
      <w:r>
        <w:rPr>
          <w:rFonts w:ascii="Calibri" w:hAnsi="Calibri"/>
          <w:color w:val="2D3748"/>
          <w:sz w:val="21"/>
        </w:rPr>
        <w:t>Answer: src/: Modular, importable production Python code (data_loader, preprocessing, train, evaluate, predict).</w:t>
        <w:br/>
        <w:t>models/: Versioned model artifacts (.pkl) and schema metadata (metadata.json).</w:t>
        <w:br/>
        <w:t>artifacts/: Diagnostic plots (feature_importance.png, shap_summary.png) and metrics logs (metrics.json).</w:t>
        <w:br/>
        <w:t>app/: Streamlit dashboard code and UI components.</w:t>
        <w:br/>
        <w:t>notebooks/: Exploratory Data Analysis (01_eda_and_insights.ipynb).</w:t>
        <w:br/>
        <w:t>tests/: Automated unit and integration test suite (test_pipeline.py, conftest.py).</w:t>
      </w:r>
    </w:p>
    <w:p>
      <w:pPr>
        <w:spacing w:before="160" w:after="40"/>
      </w:pPr>
      <w:r>
        <w:rPr>
          <w:rFonts w:ascii="Calibri" w:hAnsi="Calibri"/>
          <w:b/>
          <w:color w:val="1E3A8A"/>
          <w:sz w:val="22"/>
        </w:rPr>
        <w:t>Q94: How does tests/test_pipeline.py ensure software quality?</w:t>
      </w:r>
    </w:p>
    <w:p>
      <w:pPr>
        <w:spacing w:before="0" w:after="160"/>
      </w:pPr>
      <w:r>
        <w:rPr>
          <w:rFonts w:ascii="Calibri" w:hAnsi="Calibri"/>
          <w:color w:val="2D3748"/>
          <w:sz w:val="21"/>
        </w:rPr>
        <w:t>Answer: It runs 7 automated unit and integration tests under pytest:</w:t>
        <w:br/>
        <w:t>1. Bedroom outlier capping verification.</w:t>
        <w:br/>
        <w:t>2. Corrupted data handling ('?' characters and clean zipcode strings).</w:t>
        <w:br/>
        <w:t>3. Feature engineering calculation verification.</w:t>
        <w:br/>
        <w:t>4. Pipeline fit_transform matrix dimension verification.</w:t>
        <w:br/>
        <w:t>5. Evaluation metric calculations on known synthetic test cases.</w:t>
        <w:br/>
        <w:t>6. Zero-division robustness in MAPE.</w:t>
        <w:br/>
        <w:t>7. End-to-end single and batch prediction inference through EstateIQPredictor.</w:t>
      </w:r>
    </w:p>
    <w:p>
      <w:pPr>
        <w:spacing w:before="160" w:after="40"/>
      </w:pPr>
      <w:r>
        <w:rPr>
          <w:rFonts w:ascii="Calibri" w:hAnsi="Calibri"/>
          <w:b/>
          <w:color w:val="1E3A8A"/>
          <w:sz w:val="22"/>
        </w:rPr>
        <w:t>Q95: Why decouple src/ modules from Jupyter Notebooks?</w:t>
      </w:r>
    </w:p>
    <w:p>
      <w:pPr>
        <w:spacing w:before="0" w:after="160"/>
      </w:pPr>
      <w:r>
        <w:rPr>
          <w:rFonts w:ascii="Calibri" w:hAnsi="Calibri"/>
          <w:color w:val="2D3748"/>
          <w:sz w:val="21"/>
        </w:rPr>
        <w:t>Answer: Notebooks hide global state, execute cells out of order, and cannot be imported by deployment servers or test runners. Confining exploration to notebooks/ and implementing production code as modular, testable .py packages in src/ ensures reproducibility and maintainability.</w:t>
      </w:r>
    </w:p>
    <w:p>
      <w:pPr>
        <w:spacing w:before="160" w:after="40"/>
      </w:pPr>
      <w:r>
        <w:rPr>
          <w:rFonts w:ascii="Calibri" w:hAnsi="Calibri"/>
          <w:b/>
          <w:color w:val="1E3A8A"/>
          <w:sz w:val="22"/>
        </w:rPr>
        <w:t>Q96: How is artifact versioning handled?</w:t>
      </w:r>
    </w:p>
    <w:p>
      <w:pPr>
        <w:spacing w:before="0" w:after="160"/>
      </w:pPr>
      <w:r>
        <w:rPr>
          <w:rFonts w:ascii="Calibri" w:hAnsi="Calibri"/>
          <w:color w:val="2D3748"/>
          <w:sz w:val="21"/>
        </w:rPr>
        <w:t>Answer: Trained models are serialized with semantic versioning (estateiq_model_v1.pkl). A companion models/metadata.json file records training timestamps, exact hyperparameter dictionaries, train/test record counts, and benchmark metrics for complete reproducibility and auditability.</w:t>
      </w:r>
    </w:p>
    <w:p>
      <w:pPr>
        <w:spacing w:before="160" w:after="40"/>
      </w:pPr>
      <w:r>
        <w:rPr>
          <w:rFonts w:ascii="Calibri" w:hAnsi="Calibri"/>
          <w:b/>
          <w:color w:val="1E3A8A"/>
          <w:sz w:val="22"/>
        </w:rPr>
        <w:t>Q97: What is the memory footprint and latency of model inference?</w:t>
      </w:r>
    </w:p>
    <w:p>
      <w:pPr>
        <w:spacing w:before="0" w:after="160"/>
      </w:pPr>
      <w:r>
        <w:rPr>
          <w:rFonts w:ascii="Calibri" w:hAnsi="Calibri"/>
          <w:color w:val="2D3748"/>
          <w:sz w:val="21"/>
        </w:rPr>
        <w:t>Answer: The serialized LightGBM pipeline is under 15 MB. Single-property inference latency is under 15 milliseconds, making it suitable for high-throughput real-time web applications.</w:t>
      </w:r>
    </w:p>
    <w:p>
      <w:pPr>
        <w:pStyle w:val="Heading2"/>
        <w:spacing w:before="280" w:after="120"/>
      </w:pPr>
      <w:r>
        <w:rPr>
          <w:rFonts w:ascii="Calibri" w:hAnsi="Calibri"/>
          <w:b/>
          <w:color w:val="2B6CB0"/>
          <w:sz w:val="28"/>
        </w:rPr>
        <w:t>Part 9: Deployment, Scaling &amp; MLOps Monitoring</w:t>
      </w:r>
    </w:p>
    <w:p>
      <w:pPr>
        <w:spacing w:before="160" w:after="40"/>
      </w:pPr>
      <w:r>
        <w:rPr>
          <w:rFonts w:ascii="Calibri" w:hAnsi="Calibri"/>
          <w:b/>
          <w:color w:val="1E3A8A"/>
          <w:sz w:val="22"/>
        </w:rPr>
        <w:t>Q98: How would you architect this system to scale to 50,000 requests per second across 50 US states?</w:t>
      </w:r>
    </w:p>
    <w:p>
      <w:pPr>
        <w:spacing w:before="0" w:after="160"/>
      </w:pPr>
      <w:r>
        <w:rPr>
          <w:rFonts w:ascii="Calibri" w:hAnsi="Calibri"/>
          <w:color w:val="2D3748"/>
          <w:sz w:val="21"/>
        </w:rPr>
        <w:t>Answer: 1. Microservice Separation: Wrap EstateIQPredictor inside a FastAPI containerized service deployed on AWS ECS / EKS or Google Cloud Run behind an Application Load Balancer.</w:t>
        <w:br/>
        <w:t>2. Regional Model Partitioning: Partition models by state/metro region (e.g. estateiq_wa_v1.pkl, estateiq_ca_v1.pkl) or utilize hierarchical tree models with regional embeddings.</w:t>
        <w:br/>
        <w:t>3. Caching Layer: Cache neighborhood median $/sqft and zip code aggregations in Redis for sub-millisecond retrieval.</w:t>
        <w:br/>
        <w:t>4. Batch Inference: Use Apache Spark / Ray for offline batch scoring of millions of property records into Snowflake or BigQuery.</w:t>
      </w:r>
    </w:p>
    <w:p>
      <w:pPr>
        <w:spacing w:before="160" w:after="40"/>
      </w:pPr>
      <w:r>
        <w:rPr>
          <w:rFonts w:ascii="Calibri" w:hAnsi="Calibri"/>
          <w:b/>
          <w:color w:val="1E3A8A"/>
          <w:sz w:val="22"/>
        </w:rPr>
        <w:t>Q99: How do you detect and mitigate Data Drift and Concept Drift in production?</w:t>
      </w:r>
    </w:p>
    <w:p>
      <w:pPr>
        <w:spacing w:before="0" w:after="160"/>
      </w:pPr>
      <w:r>
        <w:rPr>
          <w:rFonts w:ascii="Calibri" w:hAnsi="Calibri"/>
          <w:color w:val="2D3748"/>
          <w:sz w:val="21"/>
        </w:rPr>
        <w:t>Answer: Data Drift (Covariate Shift): Monitor input feature distributions P(X) using Kolmogorov-Smirnov tests and Population Stability Index (PSI) or Wasserstein Distance.</w:t>
        <w:br/>
        <w:t>Concept Drift: Monitor the relationship P(Y|X) by tracking prediction residuals against actual closed sale transaction prices reported 30–60 days post-listing.</w:t>
        <w:br/>
        <w:t>Mitigation: Automate scheduled monthly model retraining pipelines triggered when PSI &gt; 0.2 or holdout MAPE exceeds 14%.</w:t>
      </w:r>
    </w:p>
    <w:p>
      <w:pPr>
        <w:spacing w:before="160" w:after="40"/>
      </w:pPr>
      <w:r>
        <w:rPr>
          <w:rFonts w:ascii="Calibri" w:hAnsi="Calibri"/>
          <w:b/>
          <w:color w:val="1E3A8A"/>
          <w:sz w:val="22"/>
        </w:rPr>
        <w:t>Q100: What is your rollback strategy if a newly deployed model version underperforms?</w:t>
      </w:r>
    </w:p>
    <w:p>
      <w:pPr>
        <w:spacing w:before="0" w:after="160"/>
      </w:pPr>
      <w:r>
        <w:rPr>
          <w:rFonts w:ascii="Calibri" w:hAnsi="Calibri"/>
          <w:color w:val="2D3748"/>
          <w:sz w:val="21"/>
        </w:rPr>
        <w:t>Answer: 1. Canary / Blue-Green Deployments: Route 5% of live traffic to candidate model (v2) while 95% remains on champion model (v1), monitoring error rates.</w:t>
        <w:br/>
        <w:t>2. Automated Rollback: If latency spikes or prediction bounds violate guardrail thresholds, traffic automatically falls back to v1 via load balancer health routing.</w:t>
        <w:br/>
        <w:t>3. Shadow Deployments: Run v2 in parallel with v1 on live production inputs without serving v2 outputs to users, validating performance on real traffic before promotion.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