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jc w:val="center"/>
      </w:pPr>
      <w:r>
        <w:rPr>
          <w:rFonts w:ascii="Arial" w:cs="Arial" w:eastAsia="Arial" w:hAnsi="Arial"/>
          <w:b/>
          <w:bCs/>
          <w:color w:val="1F4E79"/>
          <w:sz w:val="28"/>
          <w:szCs w:val="28"/>
        </w:rPr>
        <w:t xml:space="preserve">AMC ENGINEERING COLLEGE, BENGALURU – 560083</w:t>
      </w:r>
    </w:p>
    <w:p>
      <w:pPr>
        <w:spacing w:after="80" w:before="80"/>
        <w:jc w:val="center"/>
      </w:pPr>
      <w:r>
        <w:rPr>
          <w:rFonts w:ascii="Arial" w:cs="Arial" w:eastAsia="Arial" w:hAnsi="Arial"/>
          <w:b w:val="false"/>
          <w:bCs w:val="false"/>
          <w:color w:val="1F4E79"/>
          <w:sz w:val="22"/>
          <w:szCs w:val="22"/>
        </w:rPr>
        <w:t xml:space="preserve">Department of Computer Science &amp; Engineering</w:t>
      </w:r>
    </w:p>
    <w:p>
      <w:pPr>
        <w:spacing w:after="80" w:before="80"/>
        <w:jc w:val="center"/>
      </w:pPr>
      <w:r>
        <w:rPr>
          <w:rFonts w:ascii="Arial" w:cs="Arial" w:eastAsia="Arial" w:hAnsi="Arial"/>
          <w:b/>
          <w:bCs/>
          <w:color w:val="2E74B5"/>
          <w:sz w:val="22"/>
          <w:szCs w:val="22"/>
        </w:rPr>
        <w:t xml:space="preserve">Project Evaluation Questions</w:t>
      </w:r>
    </w:p>
    <w:p>
      <w:pPr>
        <w:pBdr>
          <w:bottom w:val="single" w:color="1F4E79" w:sz="4" w:space="1"/>
        </w:pBdr>
        <w:spacing w:after="120" w:before="120"/>
      </w:pP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r>
              <w:rPr>
                <w:rFonts w:ascii="Arial" w:cs="Arial" w:eastAsia="Arial" w:hAnsi="Arial"/>
                <w:sz w:val="20"/>
                <w:szCs w:val="20"/>
              </w:rPr>
              <w:t xml:space="preserve">Name: Omkar Bharath Pukale  |  Sahil Kumar Mishra  |  Sandesh G C  |  Sanjitha A</w:t>
            </w:r>
          </w:p>
          <w:p>
            <w:r>
              <w:rPr>
                <w:rFonts w:ascii="Arial" w:cs="Arial" w:eastAsia="Arial" w:hAnsi="Arial"/>
                <w:sz w:val="20"/>
                <w:szCs w:val="20"/>
              </w:rPr>
              <w:t xml:space="preserve">USN: 1AM23CS127  |  1AM23CS176  |  1AM23CS183  |  1AM23CS186</w:t>
            </w:r>
          </w:p>
          <w:p>
            <w:r>
              <w:rPr>
                <w:rFonts w:ascii="Arial" w:cs="Arial" w:eastAsia="Arial" w:hAnsi="Arial"/>
                <w:b/>
                <w:bCs/>
                <w:sz w:val="20"/>
                <w:szCs w:val="20"/>
              </w:rPr>
              <w:t xml:space="preserve">Project Title: Blockchain-Based Fractional Real Estate Investment Platform with Smart Contract Automation</w:t>
            </w:r>
          </w:p>
          <w:p>
            <w:r>
              <w:rPr>
                <w:rFonts w:ascii="Arial" w:cs="Arial" w:eastAsia="Arial" w:hAnsi="Arial"/>
                <w:sz w:val="20"/>
                <w:szCs w:val="20"/>
              </w:rPr>
              <w:t xml:space="preserve">Guide: Prof. Premkumar M K</w:t>
            </w:r>
          </w:p>
        </w:tc>
      </w:tr>
    </w:tbl>
    <w:p>
      <w:pPr>
        <w:spacing w:before="200"/>
      </w:pPr>
    </w:p>
    <w:p>
      <w:pPr>
        <w:spacing w:after="90" w:before="220"/>
      </w:pPr>
      <w:r>
        <w:rPr>
          <w:rFonts w:ascii="Arial" w:cs="Arial" w:eastAsia="Arial" w:hAnsi="Arial"/>
          <w:b/>
          <w:bCs/>
          <w:color w:val="1F4E79"/>
          <w:sz w:val="21"/>
          <w:szCs w:val="21"/>
        </w:rPr>
        <w:t xml:space="preserve">1. What has the industry done to solve the problem?</w:t>
      </w:r>
    </w:p>
    <w:p>
      <w:pPr>
        <w:spacing w:after="60" w:before="60"/>
      </w:pPr>
      <w:r>
        <w:rPr>
          <w:rFonts w:ascii="Arial" w:cs="Arial" w:eastAsia="Arial" w:hAnsi="Arial"/>
          <w:sz w:val="20"/>
          <w:szCs w:val="20"/>
        </w:rPr>
        <w:t xml:space="preserve">The real estate and fintech industry has explored several approaches:</w:t>
      </w:r>
    </w:p>
    <w:p>
      <w:pPr>
        <w:pStyle w:val="ListParagraph"/>
        <w:numPr>
          <w:ilvl w:val="0"/>
          <w:numId w:val="2"/>
        </w:numPr>
        <w:spacing w:after="60" w:before="60"/>
      </w:pPr>
      <w:r>
        <w:rPr>
          <w:rFonts w:ascii="Arial" w:cs="Arial" w:eastAsia="Arial" w:hAnsi="Arial"/>
          <w:sz w:val="20"/>
          <w:szCs w:val="20"/>
        </w:rPr>
        <w:t xml:space="preserve">REITs: SEBI-regulated funds that provide real estate exposure but do not grant ownership of a specific property and require demat account access.</w:t>
      </w:r>
    </w:p>
    <w:p>
      <w:pPr>
        <w:pStyle w:val="ListParagraph"/>
        <w:numPr>
          <w:ilvl w:val="0"/>
          <w:numId w:val="2"/>
        </w:numPr>
        <w:spacing w:after="60" w:before="60"/>
      </w:pPr>
      <w:r>
        <w:rPr>
          <w:rFonts w:ascii="Arial" w:cs="Arial" w:eastAsia="Arial" w:hAnsi="Arial"/>
          <w:sz w:val="20"/>
          <w:szCs w:val="20"/>
        </w:rPr>
        <w:t xml:space="preserve">SM-REITs (2024): Introduced by SEBI for fractional investment in smaller commercial properties, but minimum ticket size remains ₹10L+.</w:t>
      </w:r>
    </w:p>
    <w:p>
      <w:pPr>
        <w:pStyle w:val="ListParagraph"/>
        <w:numPr>
          <w:ilvl w:val="0"/>
          <w:numId w:val="2"/>
        </w:numPr>
        <w:spacing w:after="60" w:before="60"/>
      </w:pPr>
      <w:r>
        <w:rPr>
          <w:rFonts w:ascii="Arial" w:cs="Arial" w:eastAsia="Arial" w:hAnsi="Arial"/>
          <w:sz w:val="20"/>
          <w:szCs w:val="20"/>
        </w:rPr>
        <w:t xml:space="preserve">Fractional Ownership Platforms (Strata, hBits, PropertyShare): SPV-based fractional investment, but centralized, non-blockchain, and without functional secondary markets.</w:t>
      </w:r>
    </w:p>
    <w:p>
      <w:pPr>
        <w:pStyle w:val="ListParagraph"/>
        <w:numPr>
          <w:ilvl w:val="0"/>
          <w:numId w:val="2"/>
        </w:numPr>
        <w:spacing w:after="60" w:before="60"/>
      </w:pPr>
      <w:r>
        <w:rPr>
          <w:rFonts w:ascii="Arial" w:cs="Arial" w:eastAsia="Arial" w:hAnsi="Arial"/>
          <w:sz w:val="20"/>
          <w:szCs w:val="20"/>
        </w:rPr>
        <w:t xml:space="preserve">Academic blockchain research: ERC-20/ERC-1400-based tokenization models have been proposed and implemented globally (RealT in USA), but no compliant platform exists in India.</w:t>
      </w:r>
    </w:p>
    <w:p>
      <w:pPr>
        <w:spacing w:after="60" w:before="60"/>
      </w:pPr>
      <w:r>
        <w:rPr>
          <w:rFonts w:ascii="Arial" w:cs="Arial" w:eastAsia="Arial" w:hAnsi="Arial"/>
          <w:sz w:val="20"/>
          <w:szCs w:val="20"/>
        </w:rPr>
        <w:t xml:space="preserve">This project synthesizes these approaches into a working prototype combining legal SPV structure, blockchain transparency, and smart contract automation.</w:t>
      </w:r>
    </w:p>
    <w:p>
      <w:pPr>
        <w:spacing w:after="90" w:before="220"/>
      </w:pPr>
      <w:r>
        <w:rPr>
          <w:rFonts w:ascii="Arial" w:cs="Arial" w:eastAsia="Arial" w:hAnsi="Arial"/>
          <w:b/>
          <w:bCs/>
          <w:color w:val="1F4E79"/>
          <w:sz w:val="21"/>
          <w:szCs w:val="21"/>
        </w:rPr>
        <w:t xml:space="preserve">2. Why is there no complete solution yet?</w:t>
      </w:r>
    </w:p>
    <w:p>
      <w:pPr>
        <w:spacing w:after="60" w:before="60"/>
      </w:pPr>
      <w:r>
        <w:rPr>
          <w:rFonts w:ascii="Arial" w:cs="Arial" w:eastAsia="Arial" w:hAnsi="Arial"/>
          <w:sz w:val="20"/>
          <w:szCs w:val="20"/>
        </w:rPr>
        <w:t xml:space="preserve">REITs and SM-REITs do not allow property-specific ownership and still have high minimum investments.</w:t>
      </w:r>
    </w:p>
    <w:p>
      <w:pPr>
        <w:spacing w:after="60" w:before="60"/>
      </w:pPr>
      <w:r>
        <w:rPr>
          <w:rFonts w:ascii="Arial" w:cs="Arial" w:eastAsia="Arial" w:hAnsi="Arial"/>
          <w:sz w:val="20"/>
          <w:szCs w:val="20"/>
        </w:rPr>
        <w:t xml:space="preserve">Existing fractional platforms are centralized: ownership is recorded in company registers, not on-chain. Investors must trust the platform entirely, with no independent verification. Exit requires waiting years for a planned asset sale.</w:t>
      </w:r>
    </w:p>
    <w:p>
      <w:pPr>
        <w:spacing w:after="60" w:before="60"/>
      </w:pPr>
      <w:r>
        <w:rPr>
          <w:rFonts w:ascii="Arial" w:cs="Arial" w:eastAsia="Arial" w:hAnsi="Arial"/>
          <w:sz w:val="20"/>
          <w:szCs w:val="20"/>
        </w:rPr>
        <w:t xml:space="preserve">Earlier blockchain proposals were unregulated, making tokens legally unenforceable as ownership proof in India.</w:t>
      </w:r>
    </w:p>
    <w:p>
      <w:pPr>
        <w:spacing w:after="60" w:before="60"/>
      </w:pPr>
      <w:r>
        <w:rPr>
          <w:rFonts w:ascii="Arial" w:cs="Arial" w:eastAsia="Arial" w:hAnsi="Arial"/>
          <w:sz w:val="20"/>
          <w:szCs w:val="20"/>
        </w:rPr>
        <w:t xml:space="preserve">The gap: no platform combines low entry (₹10k+), blockchain-enforced transparency, on-chain income automation, and a real secondary marketplace. This is exactly what this project demonstrates.</w:t>
      </w:r>
    </w:p>
    <w:p>
      <w:pPr>
        <w:spacing w:after="90" w:before="220"/>
      </w:pPr>
      <w:r>
        <w:rPr>
          <w:rFonts w:ascii="Arial" w:cs="Arial" w:eastAsia="Arial" w:hAnsi="Arial"/>
          <w:b/>
          <w:bCs/>
          <w:color w:val="1F4E79"/>
          <w:sz w:val="21"/>
          <w:szCs w:val="21"/>
        </w:rPr>
        <w:t xml:space="preserve">3. What is the scope of the problem?</w:t>
      </w:r>
    </w:p>
    <w:p>
      <w:pPr>
        <w:spacing w:after="60" w:before="60"/>
      </w:pPr>
      <w:r>
        <w:rPr>
          <w:rFonts w:ascii="Arial" w:cs="Arial" w:eastAsia="Arial" w:hAnsi="Arial"/>
          <w:sz w:val="20"/>
          <w:szCs w:val="20"/>
        </w:rPr>
        <w:t xml:space="preserve">National scope: India’s real estate market is worth over $330 billion. The middle class has limited investment options beyond FDs, gold, and mutual funds. Real estate remains inaccessible to the majority.</w:t>
      </w:r>
    </w:p>
    <w:p>
      <w:pPr>
        <w:spacing w:after="60" w:before="60"/>
      </w:pPr>
      <w:r>
        <w:rPr>
          <w:rFonts w:ascii="Arial" w:cs="Arial" w:eastAsia="Arial" w:hAnsi="Arial"/>
          <w:sz w:val="20"/>
          <w:szCs w:val="20"/>
        </w:rPr>
        <w:t xml:space="preserve">Global scope: The same barriers exist across Southeast Asia, Africa, and Latin America. The model is globally applicable and aligns with international movements toward Real World Asset (RWA) tokenization.</w:t>
      </w:r>
    </w:p>
    <w:p>
      <w:pPr>
        <w:spacing w:after="90" w:before="220"/>
      </w:pPr>
      <w:r>
        <w:rPr>
          <w:rFonts w:ascii="Arial" w:cs="Arial" w:eastAsia="Arial" w:hAnsi="Arial"/>
          <w:b/>
          <w:bCs/>
          <w:color w:val="1F4E79"/>
          <w:sz w:val="21"/>
          <w:szCs w:val="21"/>
        </w:rPr>
        <w:t xml:space="preserve">4. Is the problem worth solving? What are the expected improvements?</w:t>
      </w:r>
    </w:p>
    <w:p>
      <w:pPr>
        <w:spacing w:after="60" w:before="60"/>
      </w:pPr>
      <w:r>
        <w:rPr>
          <w:rFonts w:ascii="Arial" w:cs="Arial" w:eastAsia="Arial" w:hAnsi="Arial"/>
          <w:sz w:val="20"/>
          <w:szCs w:val="20"/>
        </w:rPr>
        <w:t xml:space="preserve">Yes. Real estate is one of India’s best long-term assets, but accessible only to the wealthy. Making it available from ₹10,000 has real economic and social impact.</w:t>
      </w:r>
    </w:p>
    <w:p>
      <w:pPr>
        <w:pStyle w:val="ListParagraph"/>
        <w:numPr>
          <w:ilvl w:val="0"/>
          <w:numId w:val="2"/>
        </w:numPr>
        <w:spacing w:after="60" w:before="60"/>
      </w:pPr>
      <w:r>
        <w:rPr>
          <w:rFonts w:ascii="Arial" w:cs="Arial" w:eastAsia="Arial" w:hAnsi="Arial"/>
          <w:sz w:val="20"/>
          <w:szCs w:val="20"/>
        </w:rPr>
        <w:t xml:space="preserve">Investment access from ₹10,000 per transaction (vs. ₹10L+ today)</w:t>
      </w:r>
    </w:p>
    <w:p>
      <w:pPr>
        <w:pStyle w:val="ListParagraph"/>
        <w:numPr>
          <w:ilvl w:val="0"/>
          <w:numId w:val="2"/>
        </w:numPr>
        <w:spacing w:after="60" w:before="60"/>
      </w:pPr>
      <w:r>
        <w:rPr>
          <w:rFonts w:ascii="Arial" w:cs="Arial" w:eastAsia="Arial" w:hAnsi="Arial"/>
          <w:sz w:val="20"/>
          <w:szCs w:val="20"/>
        </w:rPr>
        <w:t xml:space="preserve">Automated rental income distribution on-chain without manual processing</w:t>
      </w:r>
    </w:p>
    <w:p>
      <w:pPr>
        <w:pStyle w:val="ListParagraph"/>
        <w:numPr>
          <w:ilvl w:val="0"/>
          <w:numId w:val="2"/>
        </w:numPr>
        <w:spacing w:after="60" w:before="60"/>
      </w:pPr>
      <w:r>
        <w:rPr>
          <w:rFonts w:ascii="Arial" w:cs="Arial" w:eastAsia="Arial" w:hAnsi="Arial"/>
          <w:sz w:val="20"/>
          <w:szCs w:val="20"/>
        </w:rPr>
        <w:t xml:space="preserve">Tamper-proof blockchain ownership records reducing fraud and title disputes</w:t>
      </w:r>
    </w:p>
    <w:p>
      <w:pPr>
        <w:pStyle w:val="ListParagraph"/>
        <w:numPr>
          <w:ilvl w:val="0"/>
          <w:numId w:val="2"/>
        </w:numPr>
        <w:spacing w:after="60" w:before="60"/>
      </w:pPr>
      <w:r>
        <w:rPr>
          <w:rFonts w:ascii="Arial" w:cs="Arial" w:eastAsia="Arial" w:hAnsi="Arial"/>
          <w:sz w:val="20"/>
          <w:szCs w:val="20"/>
        </w:rPr>
        <w:t xml:space="preserve">Secondary trading enabling exit without waiting 3–5 years for full asset sale</w:t>
      </w:r>
    </w:p>
    <w:p>
      <w:pPr>
        <w:pStyle w:val="ListParagraph"/>
        <w:numPr>
          <w:ilvl w:val="0"/>
          <w:numId w:val="2"/>
        </w:numPr>
        <w:spacing w:after="60" w:before="60"/>
      </w:pPr>
      <w:r>
        <w:rPr>
          <w:rFonts w:ascii="Arial" w:cs="Arial" w:eastAsia="Arial" w:hAnsi="Arial"/>
          <w:sz w:val="20"/>
          <w:szCs w:val="20"/>
        </w:rPr>
        <w:t xml:space="preserve">Reduced intermediary dependence (brokers, lawyers, registration offices)</w:t>
      </w:r>
    </w:p>
    <w:p>
      <w:pPr>
        <w:spacing w:after="90" w:before="220"/>
      </w:pPr>
      <w:r>
        <w:rPr>
          <w:rFonts w:ascii="Arial" w:cs="Arial" w:eastAsia="Arial" w:hAnsi="Arial"/>
          <w:b/>
          <w:bCs/>
          <w:color w:val="1F4E79"/>
          <w:sz w:val="21"/>
          <w:szCs w:val="21"/>
        </w:rPr>
        <w:t xml:space="preserve">5. Can a research paper be published based on this project?</w:t>
      </w:r>
    </w:p>
    <w:p>
      <w:pPr>
        <w:spacing w:after="60" w:before="60"/>
      </w:pPr>
      <w:r>
        <w:rPr>
          <w:rFonts w:ascii="Arial" w:cs="Arial" w:eastAsia="Arial" w:hAnsi="Arial"/>
          <w:sz w:val="20"/>
          <w:szCs w:val="20"/>
        </w:rPr>
        <w:t xml:space="preserve">Yes. The project covers active research areas: ERC-1400 security token standards, smart contract income distribution patterns, secondary market mechanisms for illiquid assets, and KYC-blockchain integration. Results from security testing, system benchmarking, and architectural evaluation can be submitted to IEEE conferences, national fintech/blockchain conferences, or journals covering financial technology.</w:t>
      </w:r>
    </w:p>
    <w:p>
      <w:pPr>
        <w:spacing w:after="90" w:before="220"/>
      </w:pPr>
      <w:r>
        <w:rPr>
          <w:rFonts w:ascii="Arial" w:cs="Arial" w:eastAsia="Arial" w:hAnsi="Arial"/>
          <w:b/>
          <w:bCs/>
          <w:color w:val="1F4E79"/>
          <w:sz w:val="21"/>
          <w:szCs w:val="21"/>
        </w:rPr>
        <w:t xml:space="preserve">6. Can a patent be applied for any innovation?</w:t>
      </w:r>
    </w:p>
    <w:p>
      <w:pPr>
        <w:spacing w:after="60" w:before="60"/>
      </w:pPr>
      <w:r>
        <w:rPr>
          <w:rFonts w:ascii="Arial" w:cs="Arial" w:eastAsia="Arial" w:hAnsi="Arial"/>
          <w:sz w:val="20"/>
          <w:szCs w:val="20"/>
        </w:rPr>
        <w:t xml:space="preserve">A patent may be viable if the project produces a novel mechanism — for example, a specific smart contract architecture for verifiable fractional rental income distribution with KYC-gated token transfers, where the combination of methods is not already publicly described. Standard ERC-20/1400 implementations alone would not qualify. Further evaluation with the institution’s IP cell is recommended.</w:t>
      </w:r>
    </w:p>
    <w:p>
      <w:pPr>
        <w:spacing w:after="90" w:before="220"/>
      </w:pPr>
      <w:r>
        <w:rPr>
          <w:rFonts w:ascii="Arial" w:cs="Arial" w:eastAsia="Arial" w:hAnsi="Arial"/>
          <w:b/>
          <w:bCs/>
          <w:color w:val="1F4E79"/>
          <w:sz w:val="21"/>
          <w:szCs w:val="21"/>
        </w:rPr>
        <w:t xml:space="preserve">7. Can the results be commercialized?</w:t>
      </w:r>
    </w:p>
    <w:p>
      <w:pPr>
        <w:spacing w:after="60" w:before="60"/>
      </w:pPr>
      <w:r>
        <w:rPr>
          <w:rFonts w:ascii="Arial" w:cs="Arial" w:eastAsia="Arial" w:hAnsi="Arial"/>
          <w:sz w:val="20"/>
          <w:szCs w:val="20"/>
        </w:rPr>
        <w:t xml:space="preserve">Yes. The prototype serves as the technical foundation for a commercial platform. Commercialization would require SEBI compliance (SM-REIT framework or AIF registration), KYC/AML infrastructure, legal SPV structuring per property, and professional smart contract audits. Market demand is validated by existing funded platforms (Strata, hBits). This project provides the technical core for such a service.</w:t>
      </w:r>
    </w:p>
    <w:p>
      <w:pPr>
        <w:spacing w:after="90" w:before="220"/>
      </w:pPr>
      <w:r>
        <w:rPr>
          <w:rFonts w:ascii="Arial" w:cs="Arial" w:eastAsia="Arial" w:hAnsi="Arial"/>
          <w:b/>
          <w:bCs/>
          <w:color w:val="1F4E79"/>
          <w:sz w:val="21"/>
          <w:szCs w:val="21"/>
        </w:rPr>
        <w:t xml:space="preserve">8. Can the idea be incubated into a startup?</w:t>
      </w:r>
    </w:p>
    <w:p>
      <w:pPr>
        <w:spacing w:after="60" w:before="60"/>
      </w:pPr>
      <w:r>
        <w:rPr>
          <w:rFonts w:ascii="Arial" w:cs="Arial" w:eastAsia="Arial" w:hAnsi="Arial"/>
          <w:sz w:val="20"/>
          <w:szCs w:val="20"/>
        </w:rPr>
        <w:t xml:space="preserve">Yes, with strong potential. The tokenization space has growing regulatory clarity through SEBI’s SM-REIT framework and IFSCA’s tokenization consultation paper at GIFT City. A realistic startup path would begin as a B2B technology provider to existing fractional ownership platforms before launching a direct investor product. The technology can also be transferred to real estate companies, NBFCs, or investment firms wanting to digitize ownership and automate income distribution.</w:t>
      </w:r>
    </w:p>
    <w:p>
      <w:pPr>
        <w:spacing w:after="90" w:before="220"/>
      </w:pPr>
      <w:r>
        <w:rPr>
          <w:rFonts w:ascii="Arial" w:cs="Arial" w:eastAsia="Arial" w:hAnsi="Arial"/>
          <w:b/>
          <w:bCs/>
          <w:color w:val="1F4E79"/>
          <w:sz w:val="21"/>
          <w:szCs w:val="21"/>
        </w:rPr>
        <w:t xml:space="preserve">9. Can the solution be provided to industries through technology transfer?</w:t>
      </w:r>
    </w:p>
    <w:p>
      <w:pPr>
        <w:spacing w:after="60" w:before="60"/>
      </w:pPr>
      <w:r>
        <w:rPr>
          <w:rFonts w:ascii="Arial" w:cs="Arial" w:eastAsia="Arial" w:hAnsi="Arial"/>
          <w:sz w:val="20"/>
          <w:szCs w:val="20"/>
        </w:rPr>
        <w:t xml:space="preserve">Yes. The smart contract system, secondary marketplace logic, and KYC-integrated blockchain architecture can be packaged as a modular technology solution. With API documentation, deployment guides, and integration support, the system can be adopted by players in real estate management, investment services, and financial transactions. Industries seeking to digitize asset ownership records and automate revenue sharing would be the primary targets.</w:t>
      </w:r>
    </w:p>
    <w:p>
      <w:pPr>
        <w:spacing w:before="3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jc w:val="center"/>
            </w:pPr>
            <w:r>
              <w:rPr>
                <w:rFonts w:ascii="Arial" w:cs="Arial" w:eastAsia="Arial" w:hAnsi="Arial"/>
                <w:b/>
                <w:bCs/>
                <w:sz w:val="20"/>
                <w:szCs w:val="20"/>
              </w:rPr>
              <w:t xml:space="preserve">Coordinators</w:t>
            </w:r>
          </w:p>
        </w:tc>
        <w:tc>
          <w:tcPr>
            <w:tcW w:type="dxa" w:w="4680"/>
            <w:tcBorders>
              <w:top w:val="none" w:color="FFFFFF" w:sz="0"/>
              <w:left w:val="none" w:color="FFFFFF" w:sz="0"/>
              <w:bottom w:val="none" w:color="FFFFFF" w:sz="0"/>
              <w:right w:val="none" w:color="FFFFFF" w:sz="0"/>
            </w:tcBorders>
          </w:tcPr>
          <w:p>
            <w:pPr>
              <w:jc w:val="center"/>
            </w:pPr>
            <w:r>
              <w:rPr>
                <w:rFonts w:ascii="Arial" w:cs="Arial" w:eastAsia="Arial" w:hAnsi="Arial"/>
                <w:b/>
                <w:bCs/>
                <w:sz w:val="20"/>
                <w:szCs w:val="20"/>
              </w:rPr>
              <w:t xml:space="preserve">Signature of Guide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2026-04-21T04:30:28.679Z</dcterms:created>
  <dcterms:modified xsi:type="dcterms:W3CDTF">2026-04-21T04:30:28.679Z</dcterms:modified>
</cp:coreProperties>
</file>

<file path=docProps/custom.xml><?xml version="1.0" encoding="utf-8"?>
<Properties xmlns="http://schemas.openxmlformats.org/officeDocument/2006/custom-properties" xmlns:vt="http://schemas.openxmlformats.org/officeDocument/2006/docPropsVTypes"/>
</file>