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DF42" w14:textId="190A837D" w:rsidR="005135D7" w:rsidRDefault="00CC543D">
      <w:pPr>
        <w:spacing w:before="480" w:after="80"/>
        <w:jc w:val="center"/>
      </w:pPr>
      <w:r>
        <w:rPr>
          <w:b/>
          <w:bCs/>
          <w:color w:val="7F8C8D"/>
          <w:sz w:val="20"/>
          <w:szCs w:val="20"/>
        </w:rPr>
        <w:t>TEAM MONOLITH</w:t>
      </w:r>
    </w:p>
    <w:p w14:paraId="407BAE4F" w14:textId="77777777" w:rsidR="005135D7" w:rsidRDefault="00000000">
      <w:pPr>
        <w:pBdr>
          <w:bottom w:val="single" w:sz="12" w:space="6" w:color="D4A017"/>
        </w:pBdr>
        <w:spacing w:after="120"/>
        <w:jc w:val="center"/>
      </w:pPr>
      <w:r>
        <w:rPr>
          <w:b/>
          <w:bCs/>
          <w:color w:val="1B2A4A"/>
          <w:sz w:val="52"/>
          <w:szCs w:val="52"/>
        </w:rPr>
        <w:t>Global Ripple Effects:</w:t>
      </w:r>
    </w:p>
    <w:p w14:paraId="63DAE38A" w14:textId="77777777" w:rsidR="005135D7" w:rsidRDefault="00000000">
      <w:pPr>
        <w:spacing w:before="80" w:after="200"/>
        <w:jc w:val="center"/>
      </w:pPr>
      <w:r>
        <w:rPr>
          <w:b/>
          <w:bCs/>
          <w:color w:val="C0392B"/>
          <w:sz w:val="44"/>
          <w:szCs w:val="44"/>
        </w:rPr>
        <w:t>How War Impacts the World Economy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536"/>
      </w:tblGrid>
      <w:tr w:rsidR="005135D7" w14:paraId="7C224680" w14:textId="77777777" w:rsidTr="00CC543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F5812FA" w14:textId="77777777" w:rsidR="005135D7" w:rsidRDefault="00000000">
            <w:r>
              <w:rPr>
                <w:b/>
                <w:bCs/>
                <w:color w:val="FFFFFF"/>
              </w:rPr>
              <w:t>Project Team</w:t>
            </w:r>
          </w:p>
          <w:p w14:paraId="50DCE599" w14:textId="77777777" w:rsidR="005135D7" w:rsidRDefault="00000000">
            <w:pPr>
              <w:spacing w:before="60"/>
            </w:pPr>
            <w:r>
              <w:rPr>
                <w:color w:val="AABBCC"/>
                <w:sz w:val="20"/>
                <w:szCs w:val="20"/>
              </w:rPr>
              <w:t xml:space="preserve">Prem Baraskar  |  Omkar </w:t>
            </w:r>
            <w:proofErr w:type="spellStart"/>
            <w:r>
              <w:rPr>
                <w:color w:val="AABBCC"/>
                <w:sz w:val="20"/>
                <w:szCs w:val="20"/>
              </w:rPr>
              <w:t>Narsale</w:t>
            </w:r>
            <w:proofErr w:type="spellEnd"/>
            <w:r>
              <w:rPr>
                <w:color w:val="AABBCC"/>
                <w:sz w:val="20"/>
                <w:szCs w:val="20"/>
              </w:rPr>
              <w:t xml:space="preserve">  |  Abhinav Lal</w:t>
            </w:r>
          </w:p>
        </w:tc>
        <w:tc>
          <w:tcPr>
            <w:tcW w:w="453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561042F" w14:textId="77777777" w:rsidR="005135D7" w:rsidRDefault="00000000">
            <w:r>
              <w:rPr>
                <w:b/>
                <w:bCs/>
                <w:color w:val="FFFFFF"/>
              </w:rPr>
              <w:t>Institution</w:t>
            </w:r>
          </w:p>
          <w:p w14:paraId="35EA649A" w14:textId="77777777" w:rsidR="005135D7" w:rsidRDefault="00000000">
            <w:pPr>
              <w:spacing w:before="60"/>
            </w:pPr>
            <w:r>
              <w:rPr>
                <w:color w:val="AABBCC"/>
                <w:sz w:val="20"/>
                <w:szCs w:val="20"/>
              </w:rPr>
              <w:t>SAKEC College  |  SYIT BTech</w:t>
            </w:r>
          </w:p>
        </w:tc>
      </w:tr>
    </w:tbl>
    <w:p w14:paraId="49F7A58B" w14:textId="77777777" w:rsidR="005135D7" w:rsidRDefault="005135D7">
      <w:pPr>
        <w:spacing w:before="300"/>
      </w:pPr>
    </w:p>
    <w:p w14:paraId="3C96A7E1" w14:textId="77777777" w:rsidR="005135D7" w:rsidRDefault="00000000">
      <w:pPr>
        <w:pStyle w:val="Heading1"/>
        <w:pBdr>
          <w:bottom w:val="single" w:sz="8" w:space="4" w:color="D4A017"/>
        </w:pBdr>
      </w:pPr>
      <w:r>
        <w:t>Executive Summary: Global Toll at a Glance</w:t>
      </w:r>
    </w:p>
    <w:p w14:paraId="7AB3292B" w14:textId="77777777" w:rsidR="005135D7" w:rsidRDefault="00000000">
      <w:pPr>
        <w:spacing w:before="80" w:after="80"/>
      </w:pPr>
      <w:r>
        <w:t>The America-Iran conflict of 2026 triggered an immediate, synchronized economic crisis across the globe. The following headline numbers capture the scale of the shock:</w:t>
      </w:r>
    </w:p>
    <w:p w14:paraId="463F4CEF" w14:textId="77777777" w:rsidR="005135D7" w:rsidRDefault="005135D7">
      <w:pPr>
        <w:spacing w:before="12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5135D7" w14:paraId="05F178C0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73F79" w14:textId="77777777" w:rsidR="005135D7" w:rsidRDefault="00000000">
            <w:pPr>
              <w:jc w:val="center"/>
            </w:pPr>
            <w:r>
              <w:rPr>
                <w:color w:val="AABBCC"/>
                <w:sz w:val="18"/>
                <w:szCs w:val="18"/>
              </w:rPr>
              <w:t>Oil Price Spike</w:t>
            </w:r>
          </w:p>
          <w:p w14:paraId="4ACAC5D8" w14:textId="77777777" w:rsidR="005135D7" w:rsidRDefault="00000000">
            <w:pPr>
              <w:jc w:val="center"/>
            </w:pPr>
            <w:r>
              <w:rPr>
                <w:b/>
                <w:bCs/>
                <w:color w:val="D4A017"/>
                <w:sz w:val="40"/>
                <w:szCs w:val="40"/>
              </w:rPr>
              <w:t>22.06%</w:t>
            </w:r>
          </w:p>
        </w:tc>
        <w:tc>
          <w:tcPr>
            <w:tcW w:w="2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4D4D8" w14:textId="77777777" w:rsidR="005135D7" w:rsidRDefault="00000000">
            <w:pPr>
              <w:jc w:val="center"/>
            </w:pPr>
            <w:r>
              <w:rPr>
                <w:color w:val="AABBCC"/>
                <w:sz w:val="18"/>
                <w:szCs w:val="18"/>
              </w:rPr>
              <w:t>Market Change</w:t>
            </w:r>
          </w:p>
          <w:p w14:paraId="1A365975" w14:textId="77777777" w:rsidR="005135D7" w:rsidRDefault="00000000">
            <w:pPr>
              <w:jc w:val="center"/>
            </w:pPr>
            <w:r>
              <w:rPr>
                <w:b/>
                <w:bCs/>
                <w:color w:val="D4A017"/>
                <w:sz w:val="40"/>
                <w:szCs w:val="40"/>
              </w:rPr>
              <w:t>72.50%</w:t>
            </w:r>
          </w:p>
        </w:tc>
        <w:tc>
          <w:tcPr>
            <w:tcW w:w="2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2A211" w14:textId="77777777" w:rsidR="005135D7" w:rsidRDefault="00000000">
            <w:pPr>
              <w:jc w:val="center"/>
            </w:pPr>
            <w:r>
              <w:rPr>
                <w:color w:val="AABBCC"/>
                <w:sz w:val="18"/>
                <w:szCs w:val="18"/>
              </w:rPr>
              <w:t>Fuel Price Rise</w:t>
            </w:r>
          </w:p>
          <w:p w14:paraId="0FE0215F" w14:textId="77777777" w:rsidR="005135D7" w:rsidRDefault="00000000">
            <w:pPr>
              <w:jc w:val="center"/>
            </w:pPr>
            <w:r>
              <w:rPr>
                <w:b/>
                <w:bCs/>
                <w:color w:val="D4A017"/>
                <w:sz w:val="40"/>
                <w:szCs w:val="40"/>
              </w:rPr>
              <w:t>4.96%</w:t>
            </w:r>
          </w:p>
        </w:tc>
        <w:tc>
          <w:tcPr>
            <w:tcW w:w="2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D0005" w14:textId="77777777" w:rsidR="005135D7" w:rsidRDefault="00000000">
            <w:pPr>
              <w:jc w:val="center"/>
            </w:pPr>
            <w:r>
              <w:rPr>
                <w:color w:val="AABBCC"/>
                <w:sz w:val="18"/>
                <w:szCs w:val="18"/>
              </w:rPr>
              <w:t>Post-Conflict Inflation</w:t>
            </w:r>
          </w:p>
          <w:p w14:paraId="04A696BD" w14:textId="77777777" w:rsidR="005135D7" w:rsidRDefault="00000000">
            <w:pPr>
              <w:jc w:val="center"/>
            </w:pPr>
            <w:r>
              <w:rPr>
                <w:b/>
                <w:bCs/>
                <w:color w:val="D4A017"/>
                <w:sz w:val="40"/>
                <w:szCs w:val="40"/>
              </w:rPr>
              <w:t>4.25%</w:t>
            </w:r>
          </w:p>
        </w:tc>
      </w:tr>
    </w:tbl>
    <w:p w14:paraId="1BB2180C" w14:textId="77777777" w:rsidR="005135D7" w:rsidRDefault="005135D7">
      <w:pPr>
        <w:spacing w:before="120"/>
      </w:pPr>
    </w:p>
    <w:p w14:paraId="1A5143FA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Peak Crude Oil Price (March 9, 2026): </w:t>
      </w:r>
      <w:r>
        <w:rPr>
          <w:b/>
          <w:bCs/>
          <w:color w:val="C0392B"/>
        </w:rPr>
        <w:t>$104.30 / barrel</w:t>
      </w:r>
    </w:p>
    <w:p w14:paraId="3AA98977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Conflict Phases Analysed: </w:t>
      </w:r>
      <w:r>
        <w:rPr>
          <w:b/>
          <w:bCs/>
          <w:color w:val="1B2A4A"/>
        </w:rPr>
        <w:t>Pre-Conflict (Feb 16–28, 2026) &amp; Active Conflict (Mar 1–9, 2026)</w:t>
      </w:r>
    </w:p>
    <w:p w14:paraId="150B6430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Countries Tracked: </w:t>
      </w:r>
      <w:r>
        <w:rPr>
          <w:b/>
          <w:bCs/>
          <w:color w:val="1B2A4A"/>
        </w:rPr>
        <w:t>17 nations across South Asia, Middle East, Europe &amp; Americas</w:t>
      </w:r>
    </w:p>
    <w:p w14:paraId="710F43A0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Key Insight: </w:t>
      </w:r>
      <w:r>
        <w:rPr>
          <w:b/>
          <w:bCs/>
          <w:color w:val="C0392B"/>
        </w:rPr>
        <w:t>Oil price volatility is the leading indicator for broader commodity inflation and global economic stress.</w:t>
      </w:r>
    </w:p>
    <w:p w14:paraId="71A2482F" w14:textId="77777777" w:rsidR="005135D7" w:rsidRDefault="005135D7">
      <w:pPr>
        <w:spacing w:before="200"/>
      </w:pPr>
    </w:p>
    <w:p w14:paraId="79B82509" w14:textId="77777777" w:rsidR="005135D7" w:rsidRDefault="00000000">
      <w:pPr>
        <w:pStyle w:val="Heading1"/>
        <w:pBdr>
          <w:bottom w:val="single" w:sz="8" w:space="4" w:color="D4A017"/>
        </w:pBdr>
      </w:pPr>
      <w:r>
        <w:t>1. Problem Statement</w:t>
      </w:r>
    </w:p>
    <w:p w14:paraId="2871D51D" w14:textId="77777777" w:rsidR="005135D7" w:rsidRDefault="00000000">
      <w:pPr>
        <w:spacing w:before="80" w:after="80"/>
      </w:pPr>
      <w:r>
        <w:rPr>
          <w:i/>
          <w:iCs/>
          <w:color w:val="7F8C8D"/>
        </w:rPr>
        <w:t>Mentor: Ms. Diksha  |  Category: Data Visualisation</w:t>
      </w:r>
    </w:p>
    <w:p w14:paraId="32098357" w14:textId="77777777" w:rsidR="005135D7" w:rsidRDefault="005135D7">
      <w:pPr>
        <w:spacing w:before="80"/>
      </w:pPr>
    </w:p>
    <w:p w14:paraId="32007739" w14:textId="77777777" w:rsidR="005135D7" w:rsidRDefault="00000000">
      <w:pPr>
        <w:spacing w:before="80" w:after="80"/>
      </w:pPr>
      <w:r>
        <w:t>A war in one region disrupts global supply chains, energy prices, and inflation worldwide. This project investigates and visualises how the America-Iran conflict in 2026 — specifically the threatened closure of the Strait of Hormuz — cascaded into a multi-dimensional global economic crisis.</w:t>
      </w:r>
    </w:p>
    <w:p w14:paraId="56EA9EA5" w14:textId="77777777" w:rsidR="005135D7" w:rsidRDefault="005135D7">
      <w:pPr>
        <w:spacing w:before="80"/>
      </w:pPr>
    </w:p>
    <w:p w14:paraId="01D51116" w14:textId="77777777" w:rsidR="005135D7" w:rsidRDefault="00000000">
      <w:pPr>
        <w:pStyle w:val="Heading2"/>
      </w:pPr>
      <w:r>
        <w:t>Core Research Questions</w:t>
      </w:r>
    </w:p>
    <w:p w14:paraId="65FD371B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How did oil &amp; gas prices move during pre-conflict vs. active-conflict phases?</w:t>
      </w:r>
    </w:p>
    <w:p w14:paraId="3E37F6E7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Which countries bore the greatest economic burden and why?</w:t>
      </w:r>
    </w:p>
    <w:p w14:paraId="0407E293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What is the causal chain from geopolitical trigger to global inflation?</w:t>
      </w:r>
    </w:p>
    <w:p w14:paraId="3D8BCF09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Who were the economic 'winners' and 'losers' of this conflict?</w:t>
      </w:r>
    </w:p>
    <w:p w14:paraId="37925780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lastRenderedPageBreak/>
        <w:t>What policy responses proved most effective at insulating economies?</w:t>
      </w:r>
    </w:p>
    <w:p w14:paraId="04338B11" w14:textId="77777777" w:rsidR="005135D7" w:rsidRDefault="005135D7">
      <w:pPr>
        <w:spacing w:before="200"/>
      </w:pPr>
    </w:p>
    <w:p w14:paraId="486ABC2E" w14:textId="77777777" w:rsidR="005135D7" w:rsidRDefault="00000000">
      <w:pPr>
        <w:pStyle w:val="Heading1"/>
        <w:pBdr>
          <w:bottom w:val="single" w:sz="8" w:space="4" w:color="D4A017"/>
        </w:pBdr>
      </w:pPr>
      <w:r>
        <w:t>2. Datasets &amp; Analytical Architecture</w:t>
      </w:r>
    </w:p>
    <w:p w14:paraId="41C2029C" w14:textId="77777777" w:rsidR="005135D7" w:rsidRDefault="00000000">
      <w:pPr>
        <w:spacing w:before="80" w:after="80"/>
      </w:pPr>
      <w:r>
        <w:t>Five purpose-built datasets were collected, cleaned, and integrated into a unified Economic Impact Modeler:</w:t>
      </w:r>
    </w:p>
    <w:p w14:paraId="4AEAE29A" w14:textId="77777777" w:rsidR="005135D7" w:rsidRDefault="005135D7">
      <w:pPr>
        <w:spacing w:before="8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520"/>
      </w:tblGrid>
      <w:tr w:rsidR="005135D7" w14:paraId="3C3D9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162C" w14:textId="77777777" w:rsidR="005135D7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62DD" w14:textId="77777777" w:rsidR="005135D7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79B2" w14:textId="77777777" w:rsidR="005135D7" w:rsidRDefault="00000000">
            <w:r>
              <w:rPr>
                <w:b/>
                <w:bCs/>
                <w:color w:val="FFFFFF"/>
                <w:sz w:val="20"/>
                <w:szCs w:val="20"/>
              </w:rPr>
              <w:t>Key Variable</w:t>
            </w:r>
          </w:p>
        </w:tc>
      </w:tr>
      <w:tr w:rsidR="005135D7" w14:paraId="69ED89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0FA5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Daily Crude Oil Prices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F41F" w14:textId="77777777" w:rsidR="005135D7" w:rsidRDefault="00000000">
            <w:r>
              <w:rPr>
                <w:color w:val="2C3E50"/>
                <w:sz w:val="20"/>
                <w:szCs w:val="20"/>
              </w:rPr>
              <w:t>Feb 16 – Mar 9, 2026</w:t>
            </w:r>
          </w:p>
        </w:tc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3888" w14:textId="77777777" w:rsidR="005135D7" w:rsidRDefault="00000000">
            <w:r>
              <w:rPr>
                <w:color w:val="2C3E50"/>
                <w:sz w:val="20"/>
                <w:szCs w:val="20"/>
              </w:rPr>
              <w:t>Brent crude &amp; WTI daily price, conflict phase flag</w:t>
            </w:r>
          </w:p>
        </w:tc>
      </w:tr>
      <w:tr w:rsidR="005135D7" w14:paraId="22164B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9B04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Stock Market Indices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D519" w14:textId="77777777" w:rsidR="005135D7" w:rsidRDefault="00000000">
            <w:r>
              <w:rPr>
                <w:color w:val="2C3E50"/>
                <w:sz w:val="20"/>
                <w:szCs w:val="20"/>
              </w:rPr>
              <w:t>2018 – 2026</w:t>
            </w:r>
          </w:p>
        </w:tc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0876" w14:textId="77777777" w:rsidR="005135D7" w:rsidRDefault="00000000">
            <w:r>
              <w:rPr>
                <w:color w:val="2C3E50"/>
                <w:sz w:val="20"/>
                <w:szCs w:val="20"/>
              </w:rPr>
              <w:t>Market index, % change vs. pre-conflict baseline</w:t>
            </w:r>
          </w:p>
        </w:tc>
      </w:tr>
      <w:tr w:rsidR="005135D7" w14:paraId="799B58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41F5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World Bank CPI Data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448C" w14:textId="77777777" w:rsidR="005135D7" w:rsidRDefault="00000000">
            <w:r>
              <w:rPr>
                <w:color w:val="2C3E50"/>
                <w:sz w:val="20"/>
                <w:szCs w:val="20"/>
              </w:rPr>
              <w:t>2018 – 2024</w:t>
            </w:r>
          </w:p>
        </w:tc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81F4" w14:textId="77777777" w:rsidR="005135D7" w:rsidRDefault="00000000">
            <w:r>
              <w:rPr>
                <w:color w:val="2C3E50"/>
                <w:sz w:val="20"/>
                <w:szCs w:val="20"/>
              </w:rPr>
              <w:t>Inflation rates for 6 core economies</w:t>
            </w:r>
          </w:p>
        </w:tc>
      </w:tr>
      <w:tr w:rsidR="005135D7" w14:paraId="585FDB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CE42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Country Impact Metrics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8CED" w14:textId="77777777" w:rsidR="005135D7" w:rsidRDefault="00000000">
            <w:r>
              <w:rPr>
                <w:color w:val="2C3E50"/>
                <w:sz w:val="20"/>
                <w:szCs w:val="20"/>
              </w:rPr>
              <w:t>17 nations</w:t>
            </w:r>
          </w:p>
        </w:tc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1680" w14:textId="77777777" w:rsidR="005135D7" w:rsidRDefault="00000000">
            <w:r>
              <w:rPr>
                <w:color w:val="2C3E50"/>
                <w:sz w:val="20"/>
                <w:szCs w:val="20"/>
              </w:rPr>
              <w:t>Oil import %, GDP impact, vulnerability &amp; impact score</w:t>
            </w:r>
          </w:p>
        </w:tc>
      </w:tr>
      <w:tr w:rsidR="005135D7" w14:paraId="108319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9406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Petrol Price Comparisons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AD62" w14:textId="77777777" w:rsidR="005135D7" w:rsidRDefault="00000000">
            <w:r>
              <w:rPr>
                <w:color w:val="2C3E50"/>
                <w:sz w:val="20"/>
                <w:szCs w:val="20"/>
              </w:rPr>
              <w:t>Pre vs. Active conflict</w:t>
            </w:r>
          </w:p>
        </w:tc>
        <w:tc>
          <w:tcPr>
            <w:tcW w:w="3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3E2C" w14:textId="77777777" w:rsidR="005135D7" w:rsidRDefault="00000000">
            <w:r>
              <w:rPr>
                <w:color w:val="2C3E50"/>
                <w:sz w:val="20"/>
                <w:szCs w:val="20"/>
              </w:rPr>
              <w:t>Pump prices before &amp; after across countries</w:t>
            </w:r>
          </w:p>
        </w:tc>
      </w:tr>
    </w:tbl>
    <w:p w14:paraId="106F11AB" w14:textId="77777777" w:rsidR="005135D7" w:rsidRDefault="005135D7">
      <w:pPr>
        <w:spacing w:before="120"/>
      </w:pPr>
    </w:p>
    <w:p w14:paraId="10058D6A" w14:textId="77777777" w:rsidR="005135D7" w:rsidRDefault="00000000">
      <w:pPr>
        <w:spacing w:before="80" w:after="80"/>
      </w:pPr>
      <w:r>
        <w:t>Feature engineering produced the master KPI — the Impact Score — by standardising and combining three sub-scores: Inflation Risk Score + Currency Pressure Score + Vulnerability Score. This allowed cross-country comparison on a single numerical scale.</w:t>
      </w:r>
    </w:p>
    <w:p w14:paraId="400EC924" w14:textId="77777777" w:rsidR="005135D7" w:rsidRDefault="005135D7">
      <w:pPr>
        <w:spacing w:before="200"/>
      </w:pPr>
    </w:p>
    <w:p w14:paraId="1247354F" w14:textId="77777777" w:rsidR="005135D7" w:rsidRDefault="00000000">
      <w:pPr>
        <w:pStyle w:val="Heading1"/>
        <w:pBdr>
          <w:bottom w:val="single" w:sz="8" w:space="4" w:color="D4A017"/>
        </w:pBdr>
      </w:pPr>
      <w:r>
        <w:t>3. Cause-Effect Causal Chain</w:t>
      </w:r>
    </w:p>
    <w:p w14:paraId="50D4D943" w14:textId="77777777" w:rsidR="005135D7" w:rsidRDefault="00000000">
      <w:pPr>
        <w:spacing w:before="80" w:after="80"/>
      </w:pPr>
      <w:r>
        <w:t>The anatomy of this economic shock follows a four-stage cascade:</w:t>
      </w:r>
    </w:p>
    <w:p w14:paraId="109FB6B6" w14:textId="77777777" w:rsidR="005135D7" w:rsidRDefault="005135D7">
      <w:pPr>
        <w:spacing w:before="8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5135D7" w14:paraId="6D911083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10FA6" w14:textId="77777777" w:rsidR="005135D7" w:rsidRDefault="00000000">
            <w:pPr>
              <w:jc w:val="center"/>
            </w:pPr>
            <w:r>
              <w:rPr>
                <w:color w:val="D4A017"/>
                <w:sz w:val="18"/>
                <w:szCs w:val="18"/>
              </w:rPr>
              <w:t>Step 1</w:t>
            </w:r>
          </w:p>
          <w:p w14:paraId="2732419A" w14:textId="77777777" w:rsidR="005135D7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</w:rPr>
              <w:t>Geopolitical Trigger</w:t>
            </w:r>
          </w:p>
          <w:p w14:paraId="4E0B72CF" w14:textId="77777777" w:rsidR="005135D7" w:rsidRDefault="00000000">
            <w:pPr>
              <w:spacing w:before="80"/>
              <w:jc w:val="center"/>
            </w:pPr>
            <w:r>
              <w:rPr>
                <w:color w:val="CCDDEE"/>
                <w:sz w:val="18"/>
                <w:szCs w:val="18"/>
              </w:rPr>
              <w:t>Regional conflict / Hormuz closure threat</w:t>
            </w:r>
          </w:p>
        </w:tc>
        <w:tc>
          <w:tcPr>
            <w:tcW w:w="2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403C14" w14:textId="77777777" w:rsidR="005135D7" w:rsidRDefault="00000000">
            <w:pPr>
              <w:jc w:val="center"/>
            </w:pPr>
            <w:r>
              <w:rPr>
                <w:color w:val="D4A017"/>
                <w:sz w:val="18"/>
                <w:szCs w:val="18"/>
              </w:rPr>
              <w:t>Step 2</w:t>
            </w:r>
          </w:p>
          <w:p w14:paraId="434D8CAE" w14:textId="77777777" w:rsidR="005135D7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</w:rPr>
              <w:t>Energy Disruption</w:t>
            </w:r>
          </w:p>
          <w:p w14:paraId="111AB8A5" w14:textId="77777777" w:rsidR="005135D7" w:rsidRDefault="00000000">
            <w:pPr>
              <w:spacing w:before="80"/>
              <w:jc w:val="center"/>
            </w:pPr>
            <w:r>
              <w:rPr>
                <w:color w:val="CCDDEE"/>
                <w:sz w:val="18"/>
                <w:szCs w:val="18"/>
              </w:rPr>
              <w:t>Crude oil spiked +22.06% to $104.30/barrel</w:t>
            </w:r>
          </w:p>
        </w:tc>
        <w:tc>
          <w:tcPr>
            <w:tcW w:w="2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2A45B7" w14:textId="77777777" w:rsidR="005135D7" w:rsidRDefault="00000000">
            <w:pPr>
              <w:jc w:val="center"/>
            </w:pPr>
            <w:r>
              <w:rPr>
                <w:color w:val="D4A017"/>
                <w:sz w:val="18"/>
                <w:szCs w:val="18"/>
              </w:rPr>
              <w:t>Step 3</w:t>
            </w:r>
          </w:p>
          <w:p w14:paraId="75C16B06" w14:textId="77777777" w:rsidR="005135D7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</w:rPr>
              <w:t>Macro-Economic Shock</w:t>
            </w:r>
          </w:p>
          <w:p w14:paraId="1833B473" w14:textId="77777777" w:rsidR="005135D7" w:rsidRDefault="00000000">
            <w:pPr>
              <w:spacing w:before="80"/>
              <w:jc w:val="center"/>
            </w:pPr>
            <w:r>
              <w:rPr>
                <w:color w:val="CCDDEE"/>
                <w:sz w:val="18"/>
                <w:szCs w:val="18"/>
              </w:rPr>
              <w:t>Currency devaluation, import cost surge, market panic</w:t>
            </w:r>
          </w:p>
        </w:tc>
        <w:tc>
          <w:tcPr>
            <w:tcW w:w="22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9E6F94" w14:textId="77777777" w:rsidR="005135D7" w:rsidRDefault="00000000">
            <w:pPr>
              <w:jc w:val="center"/>
            </w:pPr>
            <w:r>
              <w:rPr>
                <w:color w:val="D4A017"/>
                <w:sz w:val="18"/>
                <w:szCs w:val="18"/>
              </w:rPr>
              <w:t>Step 4</w:t>
            </w:r>
          </w:p>
          <w:p w14:paraId="632B4566" w14:textId="77777777" w:rsidR="005135D7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</w:rPr>
              <w:t>Global Inflation</w:t>
            </w:r>
          </w:p>
          <w:p w14:paraId="0E124295" w14:textId="77777777" w:rsidR="005135D7" w:rsidRDefault="00000000">
            <w:pPr>
              <w:spacing w:before="80"/>
              <w:jc w:val="center"/>
            </w:pPr>
            <w:r>
              <w:rPr>
                <w:color w:val="CCDDEE"/>
                <w:sz w:val="18"/>
                <w:szCs w:val="18"/>
              </w:rPr>
              <w:t>CPI spikes worldwide; critical national vulnerability</w:t>
            </w:r>
          </w:p>
        </w:tc>
      </w:tr>
    </w:tbl>
    <w:p w14:paraId="71336F3E" w14:textId="77777777" w:rsidR="005135D7" w:rsidRDefault="005135D7">
      <w:pPr>
        <w:spacing w:before="120"/>
      </w:pPr>
    </w:p>
    <w:p w14:paraId="5D3F8EE3" w14:textId="77777777" w:rsidR="005135D7" w:rsidRDefault="00000000">
      <w:pPr>
        <w:spacing w:before="80" w:after="80"/>
      </w:pPr>
      <w:r>
        <w:t>A localized conflict instantly mutated into a synchronized global economic crisis — driven entirely by energy scarcity rather than demand destruction (unlike the 2020 pandemic shock).</w:t>
      </w:r>
    </w:p>
    <w:p w14:paraId="6A5993EC" w14:textId="77777777" w:rsidR="005135D7" w:rsidRDefault="005135D7">
      <w:pPr>
        <w:spacing w:before="200"/>
      </w:pPr>
    </w:p>
    <w:p w14:paraId="098CAF70" w14:textId="77777777" w:rsidR="005135D7" w:rsidRDefault="00000000">
      <w:pPr>
        <w:pStyle w:val="Heading1"/>
        <w:pBdr>
          <w:bottom w:val="single" w:sz="8" w:space="4" w:color="D4A017"/>
        </w:pBdr>
      </w:pPr>
      <w:r>
        <w:t>4. Key Findings &amp; Analysis</w:t>
      </w:r>
    </w:p>
    <w:p w14:paraId="753301F9" w14:textId="77777777" w:rsidR="005135D7" w:rsidRDefault="00000000">
      <w:pPr>
        <w:pStyle w:val="Heading2"/>
      </w:pPr>
      <w:r>
        <w:t>4.1 Univariate Analysis: The Oil Shock</w:t>
      </w:r>
    </w:p>
    <w:p w14:paraId="40DFA6B1" w14:textId="77777777" w:rsidR="005135D7" w:rsidRDefault="00000000">
      <w:pPr>
        <w:spacing w:before="80" w:after="80"/>
      </w:pPr>
      <w:r>
        <w:rPr>
          <w:color w:val="D4A017"/>
        </w:rPr>
        <w:lastRenderedPageBreak/>
        <w:t xml:space="preserve">▸ </w:t>
      </w:r>
      <w:r>
        <w:rPr>
          <w:color w:val="2C3E50"/>
        </w:rPr>
        <w:t xml:space="preserve">Peak Oil Price: </w:t>
      </w:r>
      <w:r>
        <w:rPr>
          <w:b/>
          <w:bCs/>
          <w:color w:val="C0392B"/>
        </w:rPr>
        <w:t>$104.30/barrel on March 9, 2026 — the apex of the active conflict phase</w:t>
      </w:r>
    </w:p>
    <w:p w14:paraId="5F0AAA3E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Oil Price Spike: </w:t>
      </w:r>
      <w:r>
        <w:rPr>
          <w:b/>
          <w:bCs/>
          <w:color w:val="C0392B"/>
        </w:rPr>
        <w:t>22.06% rise from pre-conflict baseline of ~$74.20</w:t>
      </w:r>
    </w:p>
    <w:p w14:paraId="3731F37A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WTI Spread: </w:t>
      </w:r>
      <w:r>
        <w:rPr>
          <w:b/>
          <w:bCs/>
          <w:color w:val="2C3E50"/>
        </w:rPr>
        <w:t>Brent led with Brent-WTI spread of ~$4.10 at peak</w:t>
      </w:r>
    </w:p>
    <w:p w14:paraId="125658D4" w14:textId="77777777" w:rsidR="005135D7" w:rsidRDefault="00000000">
      <w:pPr>
        <w:spacing w:before="80" w:after="80"/>
      </w:pPr>
      <w:r>
        <w:t>The speed of the price move — from $74 to $104 in under three weeks — mirrors the suddenness of the 2020 COVID crash but is structurally different: supply-driven rather than demand-destruction-driven.</w:t>
      </w:r>
    </w:p>
    <w:p w14:paraId="159A77C3" w14:textId="77777777" w:rsidR="005135D7" w:rsidRDefault="005135D7">
      <w:pPr>
        <w:spacing w:before="120"/>
      </w:pPr>
    </w:p>
    <w:p w14:paraId="61F136E6" w14:textId="77777777" w:rsidR="005135D7" w:rsidRDefault="00000000">
      <w:pPr>
        <w:pStyle w:val="Heading2"/>
      </w:pPr>
      <w:r>
        <w:t>4.2 Bivariate Analysis: The Dependency Trap</w:t>
      </w:r>
    </w:p>
    <w:p w14:paraId="7DD40532" w14:textId="77777777" w:rsidR="005135D7" w:rsidRDefault="00000000">
      <w:pPr>
        <w:spacing w:before="80" w:after="80"/>
      </w:pPr>
      <w:r>
        <w:t>A scatter analysis of Oil Import Dependency (%) vs. GDP Impact (%) revealed a clear negative correlation — the higher the import dependency, the steeper the GDP decline.</w:t>
      </w:r>
    </w:p>
    <w:p w14:paraId="49D841BB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100% Dependency Cluster (Sri Lanka, Nepal): </w:t>
      </w:r>
      <w:r>
        <w:rPr>
          <w:b/>
          <w:bCs/>
          <w:color w:val="C0392B"/>
        </w:rPr>
        <w:t>Up to -2.5% direct GDP hit within weeks of supply disruption</w:t>
      </w:r>
    </w:p>
    <w:p w14:paraId="085E7270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60-85% Dependency Nations (Pakistan, Bangladesh, India): </w:t>
      </w:r>
      <w:r>
        <w:rPr>
          <w:b/>
          <w:bCs/>
          <w:color w:val="C0392B"/>
        </w:rPr>
        <w:t>GDP impact ranging from -1.2% to -2.0%</w:t>
      </w:r>
    </w:p>
    <w:p w14:paraId="2A58DB73" w14:textId="77777777" w:rsidR="005135D7" w:rsidRDefault="00000000">
      <w:pPr>
        <w:spacing w:before="80" w:after="80"/>
      </w:pPr>
      <w:r>
        <w:rPr>
          <w:color w:val="D4A017"/>
        </w:rPr>
        <w:t xml:space="preserve">▸ </w:t>
      </w:r>
      <w:r>
        <w:rPr>
          <w:color w:val="2C3E50"/>
        </w:rPr>
        <w:t xml:space="preserve">Energy Exporter Insulation (Saudi Arabia, UAE): </w:t>
      </w:r>
      <w:r>
        <w:rPr>
          <w:b/>
          <w:bCs/>
          <w:color w:val="27AE60"/>
        </w:rPr>
        <w:t>GDP grew +1.5% and +0.8% respectively</w:t>
      </w:r>
    </w:p>
    <w:p w14:paraId="2DE79D6D" w14:textId="77777777" w:rsidR="005135D7" w:rsidRDefault="005135D7">
      <w:pPr>
        <w:spacing w:before="120"/>
      </w:pPr>
    </w:p>
    <w:p w14:paraId="298F1F7D" w14:textId="77777777" w:rsidR="005135D7" w:rsidRDefault="00000000">
      <w:pPr>
        <w:pStyle w:val="Heading2"/>
      </w:pPr>
      <w:r>
        <w:t>4.3 Trend Analysis: Market Trajectory (2018–2026)</w:t>
      </w:r>
    </w:p>
    <w:p w14:paraId="72B7BD6C" w14:textId="77777777" w:rsidR="005135D7" w:rsidRDefault="00000000">
      <w:pPr>
        <w:spacing w:before="80" w:after="80"/>
      </w:pPr>
      <w:r>
        <w:t>Stock market data spanning 2018–2026 revealed four distinct phases:</w:t>
      </w:r>
    </w:p>
    <w:p w14:paraId="0DEACF39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2018–2019: Baseline Stability — market index trending ~10,000–12,000</w:t>
      </w:r>
    </w:p>
    <w:p w14:paraId="041C8245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2020: The Pandemic Shock — -31.38% crash (demand destruction)</w:t>
      </w:r>
    </w:p>
    <w:p w14:paraId="54BE4C42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2021–2023: Volatile Recovery — gradual rebound with high volatility</w:t>
      </w:r>
    </w:p>
    <w:p w14:paraId="23806CD9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2026: The Conflict Phase — market surge (+72.50% change metric) driven by converging oil disruption and market panic</w:t>
      </w:r>
    </w:p>
    <w:p w14:paraId="10DC97C1" w14:textId="77777777" w:rsidR="005135D7" w:rsidRDefault="005135D7">
      <w:pPr>
        <w:spacing w:before="120"/>
      </w:pPr>
    </w:p>
    <w:p w14:paraId="79B66F32" w14:textId="77777777" w:rsidR="005135D7" w:rsidRDefault="00000000">
      <w:pPr>
        <w:pStyle w:val="Heading2"/>
      </w:pPr>
      <w:r>
        <w:t>4.4 Inflation Analysis: Global CPI During Conflict</w:t>
      </w:r>
    </w:p>
    <w:p w14:paraId="66D4D82F" w14:textId="77777777" w:rsidR="005135D7" w:rsidRDefault="00000000">
      <w:pPr>
        <w:spacing w:before="80" w:after="80"/>
      </w:pPr>
      <w:r>
        <w:t>World Bank CPI data across China, Germany, India, UAE, UK, and USA revealed that the 2022 post-pandemic inflation spike (peaking at ~8-10% in some economies) was the closest historical parallel. The 2026 conflict inflicted a projected 4.25% post-conflict inflation uplift globally.</w:t>
      </w:r>
    </w:p>
    <w:p w14:paraId="0E766934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Germany: Most exposed European economy due to energy import reliance</w:t>
      </w:r>
    </w:p>
    <w:p w14:paraId="6FAEB978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India: High exposure offset partially by strategic reserve release and price freezes</w:t>
      </w:r>
    </w:p>
    <w:p w14:paraId="1D0E18AC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UAE: Low CPI pressure — benefits from oil export revenues</w:t>
      </w:r>
    </w:p>
    <w:p w14:paraId="40D53D80" w14:textId="77777777" w:rsidR="005135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USA: Insulated by Strategic Petroleum Reserve draws and domestic shale production</w:t>
      </w:r>
    </w:p>
    <w:p w14:paraId="4FA5281F" w14:textId="77777777" w:rsidR="005135D7" w:rsidRDefault="005135D7">
      <w:pPr>
        <w:spacing w:before="200"/>
      </w:pPr>
    </w:p>
    <w:p w14:paraId="0E011830" w14:textId="77777777" w:rsidR="005135D7" w:rsidRDefault="00000000">
      <w:pPr>
        <w:pStyle w:val="Heading1"/>
        <w:pBdr>
          <w:bottom w:val="single" w:sz="8" w:space="4" w:color="D4A017"/>
        </w:pBdr>
      </w:pPr>
      <w:r>
        <w:t>5. Winners vs. Losers of the Conflict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560"/>
      </w:tblGrid>
      <w:tr w:rsidR="005135D7" w14:paraId="6C241D5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B09A4A1" w14:textId="77777777" w:rsidR="005135D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WINNERS — Insulated Energy Exporters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BFDA15D" w14:textId="77777777" w:rsidR="005135D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LOSERS — Import-Reliant Nations</w:t>
            </w:r>
          </w:p>
        </w:tc>
      </w:tr>
      <w:tr w:rsidR="005135D7" w14:paraId="68FC678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9F7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086610E" w14:textId="77777777" w:rsidR="005135D7" w:rsidRDefault="00000000">
            <w:r>
              <w:rPr>
                <w:b/>
                <w:bCs/>
                <w:color w:val="2C3E50"/>
              </w:rPr>
              <w:t>Saudi Arabia</w:t>
            </w:r>
          </w:p>
          <w:p w14:paraId="7E4636D1" w14:textId="77777777" w:rsidR="005135D7" w:rsidRDefault="00000000">
            <w:r>
              <w:rPr>
                <w:color w:val="7F8C8D"/>
                <w:sz w:val="20"/>
                <w:szCs w:val="20"/>
              </w:rPr>
              <w:t>GDP: +1.5%  |  Strategy: Red Sea export rerouting</w:t>
            </w:r>
          </w:p>
          <w:p w14:paraId="66B1DCDF" w14:textId="77777777" w:rsidR="005135D7" w:rsidRDefault="005135D7">
            <w:pPr>
              <w:spacing w:before="60"/>
            </w:pPr>
          </w:p>
          <w:p w14:paraId="5073350C" w14:textId="77777777" w:rsidR="005135D7" w:rsidRDefault="00000000">
            <w:r>
              <w:rPr>
                <w:b/>
                <w:bCs/>
                <w:color w:val="2C3E50"/>
              </w:rPr>
              <w:t>United Arab Emirates</w:t>
            </w:r>
          </w:p>
          <w:p w14:paraId="6EC6E59F" w14:textId="77777777" w:rsidR="005135D7" w:rsidRDefault="00000000">
            <w:r>
              <w:rPr>
                <w:color w:val="7F8C8D"/>
                <w:sz w:val="20"/>
                <w:szCs w:val="20"/>
              </w:rPr>
              <w:t>GDP: +0.8%  |  Currency: Low pressure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120" w:type="dxa"/>
              <w:left w:w="120" w:type="dxa"/>
              <w:bottom w:w="120" w:type="dxa"/>
              <w:right w:w="200" w:type="dxa"/>
            </w:tcMar>
          </w:tcPr>
          <w:p w14:paraId="5F6403EA" w14:textId="77777777" w:rsidR="005135D7" w:rsidRDefault="00000000">
            <w:r>
              <w:rPr>
                <w:b/>
                <w:bCs/>
                <w:color w:val="C0392B"/>
              </w:rPr>
              <w:lastRenderedPageBreak/>
              <w:t>Sri Lanka</w:t>
            </w:r>
          </w:p>
          <w:p w14:paraId="1AF70B4A" w14:textId="77777777" w:rsidR="005135D7" w:rsidRDefault="00000000">
            <w:r>
              <w:rPr>
                <w:color w:val="7F8C8D"/>
                <w:sz w:val="20"/>
                <w:szCs w:val="20"/>
              </w:rPr>
              <w:t>GDP: -2.5%  |  Impact Score: 1000 (MAX)  |  Rationing</w:t>
            </w:r>
          </w:p>
          <w:p w14:paraId="1278E336" w14:textId="77777777" w:rsidR="005135D7" w:rsidRDefault="005135D7">
            <w:pPr>
              <w:spacing w:before="60"/>
            </w:pPr>
          </w:p>
          <w:p w14:paraId="42B1537A" w14:textId="77777777" w:rsidR="005135D7" w:rsidRDefault="00000000">
            <w:r>
              <w:rPr>
                <w:b/>
                <w:bCs/>
                <w:color w:val="C0392B"/>
              </w:rPr>
              <w:t>Pakistan</w:t>
            </w:r>
          </w:p>
          <w:p w14:paraId="27DC4664" w14:textId="77777777" w:rsidR="005135D7" w:rsidRDefault="00000000">
            <w:r>
              <w:rPr>
                <w:color w:val="7F8C8D"/>
                <w:sz w:val="20"/>
                <w:szCs w:val="20"/>
              </w:rPr>
              <w:t>GDP: -1.8%  |  Currency: Severe pressure  |  Emergency fuel hike</w:t>
            </w:r>
          </w:p>
          <w:p w14:paraId="4885205A" w14:textId="77777777" w:rsidR="005135D7" w:rsidRDefault="005135D7">
            <w:pPr>
              <w:spacing w:before="60"/>
            </w:pPr>
          </w:p>
          <w:p w14:paraId="3636F51D" w14:textId="77777777" w:rsidR="005135D7" w:rsidRDefault="00000000">
            <w:r>
              <w:rPr>
                <w:b/>
                <w:bCs/>
                <w:color w:val="C0392B"/>
              </w:rPr>
              <w:t>Iran</w:t>
            </w:r>
          </w:p>
          <w:p w14:paraId="756619E5" w14:textId="77777777" w:rsidR="005135D7" w:rsidRDefault="00000000">
            <w:r>
              <w:rPr>
                <w:color w:val="7F8C8D"/>
                <w:sz w:val="20"/>
                <w:szCs w:val="20"/>
              </w:rPr>
              <w:t>GDP: -8.0%  |  Currency: CRITICAL  |  Direct conflict participant</w:t>
            </w:r>
          </w:p>
        </w:tc>
      </w:tr>
    </w:tbl>
    <w:p w14:paraId="361C2093" w14:textId="77777777" w:rsidR="005135D7" w:rsidRDefault="005135D7">
      <w:pPr>
        <w:spacing w:before="120"/>
      </w:pPr>
    </w:p>
    <w:p w14:paraId="701A7746" w14:textId="77777777" w:rsidR="005135D7" w:rsidRDefault="00000000">
      <w:pPr>
        <w:spacing w:before="80" w:after="80"/>
      </w:pPr>
      <w:r>
        <w:t>Profile of Losers: Nations facing absolute oil import dependency experienced not just inflation but currency collapse — a dual crisis where expensive imports drain forex reserves, triggering devaluation spirals.</w:t>
      </w:r>
    </w:p>
    <w:p w14:paraId="425EAA65" w14:textId="77777777" w:rsidR="005135D7" w:rsidRDefault="005135D7">
      <w:pPr>
        <w:spacing w:before="200"/>
      </w:pPr>
    </w:p>
    <w:p w14:paraId="44BBC92C" w14:textId="77777777" w:rsidR="005135D7" w:rsidRDefault="00000000">
      <w:pPr>
        <w:pStyle w:val="Heading1"/>
        <w:pBdr>
          <w:bottom w:val="single" w:sz="8" w:space="4" w:color="D4A017"/>
        </w:pBdr>
      </w:pPr>
      <w:r>
        <w:t>6. Country-Level Impact Scorecard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200"/>
        <w:gridCol w:w="3800"/>
      </w:tblGrid>
      <w:tr w:rsidR="005135D7" w14:paraId="497DE9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66B6" w14:textId="77777777" w:rsidR="005135D7" w:rsidRDefault="00000000"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4A21" w14:textId="77777777" w:rsidR="005135D7" w:rsidRDefault="00000000">
            <w:r>
              <w:rPr>
                <w:b/>
                <w:bCs/>
                <w:color w:val="FFFFFF"/>
                <w:sz w:val="20"/>
                <w:szCs w:val="20"/>
              </w:rPr>
              <w:t>GDP Impact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B120" w14:textId="77777777" w:rsidR="005135D7" w:rsidRDefault="00000000">
            <w:r>
              <w:rPr>
                <w:b/>
                <w:bCs/>
                <w:color w:val="FFFFFF"/>
                <w:sz w:val="20"/>
                <w:szCs w:val="20"/>
              </w:rPr>
              <w:t>Key Detail</w:t>
            </w:r>
          </w:p>
        </w:tc>
      </w:tr>
      <w:tr w:rsidR="005135D7" w14:paraId="121612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BF83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India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09AA" w14:textId="77777777" w:rsidR="005135D7" w:rsidRDefault="00000000">
            <w:r>
              <w:rPr>
                <w:color w:val="2C3E50"/>
                <w:sz w:val="20"/>
                <w:szCs w:val="20"/>
              </w:rPr>
              <w:t>GDP: -1.2%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8904" w14:textId="77777777" w:rsidR="005135D7" w:rsidRDefault="00000000">
            <w:r>
              <w:rPr>
                <w:color w:val="2C3E50"/>
                <w:sz w:val="20"/>
                <w:szCs w:val="20"/>
              </w:rPr>
              <w:t>Impact Score: 306 | Oil Import: 85% | High</w:t>
            </w:r>
          </w:p>
        </w:tc>
      </w:tr>
      <w:tr w:rsidR="005135D7" w14:paraId="5E323A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48BE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Pakistan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946A" w14:textId="77777777" w:rsidR="005135D7" w:rsidRDefault="00000000">
            <w:r>
              <w:rPr>
                <w:color w:val="2C3E50"/>
                <w:sz w:val="20"/>
                <w:szCs w:val="20"/>
              </w:rPr>
              <w:t>GDP: -1.8%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75DB" w14:textId="77777777" w:rsidR="005135D7" w:rsidRDefault="00000000">
            <w:r>
              <w:rPr>
                <w:color w:val="2C3E50"/>
                <w:sz w:val="20"/>
                <w:szCs w:val="20"/>
              </w:rPr>
              <w:t>Impact Score: 612 | Oil Import: 85% | Critical</w:t>
            </w:r>
          </w:p>
        </w:tc>
      </w:tr>
      <w:tr w:rsidR="005135D7" w14:paraId="43E18C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1F0F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Bangladesh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68F3" w14:textId="77777777" w:rsidR="005135D7" w:rsidRDefault="00000000">
            <w:r>
              <w:rPr>
                <w:color w:val="2C3E50"/>
                <w:sz w:val="20"/>
                <w:szCs w:val="20"/>
              </w:rPr>
              <w:t>GDP: -2.0%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1EB3" w14:textId="77777777" w:rsidR="005135D7" w:rsidRDefault="00000000">
            <w:r>
              <w:rPr>
                <w:color w:val="2C3E50"/>
                <w:sz w:val="20"/>
                <w:szCs w:val="20"/>
              </w:rPr>
              <w:t>Impact Score: 760 | Oil Import: 95% | Critical</w:t>
            </w:r>
          </w:p>
        </w:tc>
      </w:tr>
      <w:tr w:rsidR="005135D7" w14:paraId="34ED05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CB50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Sri Lanka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9A78" w14:textId="77777777" w:rsidR="005135D7" w:rsidRDefault="00000000">
            <w:r>
              <w:rPr>
                <w:color w:val="2C3E50"/>
                <w:sz w:val="20"/>
                <w:szCs w:val="20"/>
              </w:rPr>
              <w:t>GDP: -2.5%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E8B4" w14:textId="77777777" w:rsidR="005135D7" w:rsidRDefault="00000000">
            <w:r>
              <w:rPr>
                <w:color w:val="2C3E50"/>
                <w:sz w:val="20"/>
                <w:szCs w:val="20"/>
              </w:rPr>
              <w:t>Impact Score: 1000 | Oil Import: 100% | Critical</w:t>
            </w:r>
          </w:p>
        </w:tc>
      </w:tr>
      <w:tr w:rsidR="005135D7" w14:paraId="53C9FC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9D5B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Germany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5CB0" w14:textId="77777777" w:rsidR="005135D7" w:rsidRDefault="00000000">
            <w:r>
              <w:rPr>
                <w:color w:val="2C3E50"/>
                <w:sz w:val="20"/>
                <w:szCs w:val="20"/>
              </w:rPr>
              <w:t>GDP: -1.5%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A15C" w14:textId="77777777" w:rsidR="005135D7" w:rsidRDefault="00000000">
            <w:r>
              <w:rPr>
                <w:color w:val="2C3E50"/>
                <w:sz w:val="20"/>
                <w:szCs w:val="20"/>
              </w:rPr>
              <w:t>Impact Score: 126 | Manufacturing hub | High</w:t>
            </w:r>
          </w:p>
        </w:tc>
      </w:tr>
      <w:tr w:rsidR="005135D7" w14:paraId="7A2326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3993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United Kingdom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7486" w14:textId="77777777" w:rsidR="005135D7" w:rsidRDefault="00000000">
            <w:r>
              <w:rPr>
                <w:color w:val="2C3E50"/>
                <w:sz w:val="20"/>
                <w:szCs w:val="20"/>
              </w:rPr>
              <w:t>GDP: -1.0%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1463" w14:textId="77777777" w:rsidR="005135D7" w:rsidRDefault="00000000">
            <w:r>
              <w:rPr>
                <w:color w:val="2C3E50"/>
                <w:sz w:val="20"/>
                <w:szCs w:val="20"/>
              </w:rPr>
              <w:t>Impact Score: 72 | Partial North Sea production</w:t>
            </w:r>
          </w:p>
        </w:tc>
      </w:tr>
      <w:tr w:rsidR="005135D7" w14:paraId="248408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9FA4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United States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3536" w14:textId="77777777" w:rsidR="005135D7" w:rsidRDefault="00000000">
            <w:r>
              <w:rPr>
                <w:color w:val="2C3E50"/>
                <w:sz w:val="20"/>
                <w:szCs w:val="20"/>
              </w:rPr>
              <w:t>GDP: -0.5%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4244" w14:textId="77777777" w:rsidR="005135D7" w:rsidRDefault="00000000">
            <w:r>
              <w:rPr>
                <w:color w:val="2C3E50"/>
                <w:sz w:val="20"/>
                <w:szCs w:val="20"/>
              </w:rPr>
              <w:t>Impact Score: 3 | SPR + domestic shale insulation</w:t>
            </w:r>
          </w:p>
        </w:tc>
      </w:tr>
      <w:tr w:rsidR="005135D7" w14:paraId="6D439C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D2AA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China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BAAC" w14:textId="77777777" w:rsidR="005135D7" w:rsidRDefault="00000000">
            <w:r>
              <w:rPr>
                <w:color w:val="2C3E50"/>
                <w:sz w:val="20"/>
                <w:szCs w:val="20"/>
              </w:rPr>
              <w:t>GDP: -1.4%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1627" w14:textId="77777777" w:rsidR="005135D7" w:rsidRDefault="00000000">
            <w:r>
              <w:rPr>
                <w:color w:val="2C3E50"/>
                <w:sz w:val="20"/>
                <w:szCs w:val="20"/>
              </w:rPr>
              <w:t>Impact Score: 168 | Oil Import: 70% | Moderate-High</w:t>
            </w:r>
          </w:p>
        </w:tc>
      </w:tr>
      <w:tr w:rsidR="005135D7" w14:paraId="6DF2A4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D027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Saudi Arabia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430F" w14:textId="77777777" w:rsidR="005135D7" w:rsidRDefault="00000000">
            <w:r>
              <w:rPr>
                <w:color w:val="2C3E50"/>
                <w:sz w:val="20"/>
                <w:szCs w:val="20"/>
              </w:rPr>
              <w:t>GDP: +1.5%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5697" w14:textId="77777777" w:rsidR="005135D7" w:rsidRDefault="00000000">
            <w:r>
              <w:rPr>
                <w:color w:val="2C3E50"/>
                <w:sz w:val="20"/>
                <w:szCs w:val="20"/>
              </w:rPr>
              <w:t>WINNER — energy exporter; rerouted via Red Sea</w:t>
            </w:r>
          </w:p>
        </w:tc>
      </w:tr>
      <w:tr w:rsidR="005135D7" w14:paraId="31BB70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787B" w14:textId="77777777" w:rsidR="005135D7" w:rsidRDefault="00000000">
            <w:r>
              <w:rPr>
                <w:b/>
                <w:bCs/>
                <w:color w:val="1B2A4A"/>
                <w:sz w:val="20"/>
                <w:szCs w:val="20"/>
              </w:rPr>
              <w:t>UAE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C7A5" w14:textId="77777777" w:rsidR="005135D7" w:rsidRDefault="00000000">
            <w:r>
              <w:rPr>
                <w:color w:val="2C3E50"/>
                <w:sz w:val="20"/>
                <w:szCs w:val="20"/>
              </w:rPr>
              <w:t>GDP: +0.8%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F14A" w14:textId="77777777" w:rsidR="005135D7" w:rsidRDefault="00000000">
            <w:r>
              <w:rPr>
                <w:color w:val="2C3E50"/>
                <w:sz w:val="20"/>
                <w:szCs w:val="20"/>
              </w:rPr>
              <w:t>WINNER — energy exporter; low currency pressure</w:t>
            </w:r>
          </w:p>
        </w:tc>
      </w:tr>
    </w:tbl>
    <w:p w14:paraId="7ED34AE5" w14:textId="77777777" w:rsidR="005135D7" w:rsidRDefault="005135D7">
      <w:pPr>
        <w:spacing w:before="200"/>
      </w:pPr>
    </w:p>
    <w:p w14:paraId="0AED3798" w14:textId="77777777" w:rsidR="005135D7" w:rsidRDefault="00000000">
      <w:r>
        <w:br w:type="page"/>
      </w:r>
    </w:p>
    <w:p w14:paraId="497A7432" w14:textId="77777777" w:rsidR="005135D7" w:rsidRDefault="00000000">
      <w:pPr>
        <w:pStyle w:val="Heading1"/>
        <w:pBdr>
          <w:bottom w:val="single" w:sz="8" w:space="4" w:color="D4A017"/>
        </w:pBdr>
      </w:pPr>
      <w:r>
        <w:lastRenderedPageBreak/>
        <w:t>7. Dashboard &amp; Visualisations (Power BI)</w:t>
      </w:r>
    </w:p>
    <w:p w14:paraId="79C881EB" w14:textId="77777777" w:rsidR="005135D7" w:rsidRDefault="00000000">
      <w:pPr>
        <w:spacing w:before="80" w:after="80"/>
      </w:pPr>
      <w:r>
        <w:t>The project's analytical output was delivered as an interactive Power BI dashboard titled 'Global Ripple Effects: How Conflict Impacts the World Economy', featuring:</w:t>
      </w:r>
    </w:p>
    <w:p w14:paraId="1C2D19D2" w14:textId="77777777" w:rsidR="005135D7" w:rsidRDefault="005135D7">
      <w:pPr>
        <w:spacing w:before="8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20"/>
      </w:tblGrid>
      <w:tr w:rsidR="005135D7" w14:paraId="496ED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541A" w14:textId="77777777" w:rsidR="005135D7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Component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0F83" w14:textId="77777777" w:rsidR="005135D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5135D7" w14:paraId="51634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73BE" w14:textId="77777777" w:rsidR="005135D7" w:rsidRDefault="00000000">
            <w:r>
              <w:rPr>
                <w:b/>
                <w:bCs/>
                <w:color w:val="1B2A4A"/>
                <w:sz w:val="19"/>
                <w:szCs w:val="19"/>
              </w:rPr>
              <w:t>Stock Market Reaction (Line Chart)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17EA" w14:textId="77777777" w:rsidR="005135D7" w:rsidRDefault="00000000">
            <w:r>
              <w:rPr>
                <w:color w:val="2C3E50"/>
                <w:sz w:val="19"/>
                <w:szCs w:val="19"/>
              </w:rPr>
              <w:t>Market Index 2018–2026 overlaid with conflict phase toggle (Active vs. Pre-Conflict)</w:t>
            </w:r>
          </w:p>
        </w:tc>
      </w:tr>
      <w:tr w:rsidR="005135D7" w14:paraId="266077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433C" w14:textId="77777777" w:rsidR="005135D7" w:rsidRDefault="00000000">
            <w:r>
              <w:rPr>
                <w:b/>
                <w:bCs/>
                <w:color w:val="1B2A4A"/>
                <w:sz w:val="19"/>
                <w:szCs w:val="19"/>
              </w:rPr>
              <w:t>Top Countries by Oil Shock (Bar Chart)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3FA6" w14:textId="77777777" w:rsidR="005135D7" w:rsidRDefault="00000000">
            <w:r>
              <w:rPr>
                <w:color w:val="2C3E50"/>
                <w:sz w:val="19"/>
                <w:szCs w:val="19"/>
              </w:rPr>
              <w:t>Ranked impact on India, China, Germany, UK, USA by impact score</w:t>
            </w:r>
          </w:p>
        </w:tc>
      </w:tr>
      <w:tr w:rsidR="005135D7" w14:paraId="5AAEE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6709" w14:textId="77777777" w:rsidR="005135D7" w:rsidRDefault="00000000">
            <w:r>
              <w:rPr>
                <w:b/>
                <w:bCs/>
                <w:color w:val="1B2A4A"/>
                <w:sz w:val="19"/>
                <w:szCs w:val="19"/>
              </w:rPr>
              <w:t>Country-Level Impact Map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9AD1" w14:textId="77777777" w:rsidR="005135D7" w:rsidRDefault="00000000">
            <w:r>
              <w:rPr>
                <w:color w:val="2C3E50"/>
                <w:sz w:val="19"/>
                <w:szCs w:val="19"/>
              </w:rPr>
              <w:t>Interactive world map — heat-mapped vulnerability scores by country</w:t>
            </w:r>
          </w:p>
        </w:tc>
      </w:tr>
      <w:tr w:rsidR="005135D7" w14:paraId="3078A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29AC" w14:textId="77777777" w:rsidR="005135D7" w:rsidRDefault="00000000">
            <w:r>
              <w:rPr>
                <w:b/>
                <w:bCs/>
                <w:color w:val="1B2A4A"/>
                <w:sz w:val="19"/>
                <w:szCs w:val="19"/>
              </w:rPr>
              <w:t>Global Inflation Trends (Multi-line)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693A" w14:textId="77777777" w:rsidR="005135D7" w:rsidRDefault="00000000">
            <w:r>
              <w:rPr>
                <w:color w:val="2C3E50"/>
                <w:sz w:val="19"/>
                <w:szCs w:val="19"/>
              </w:rPr>
              <w:t>CPI trends 2018–2024 for 6 economies with 2022 peak and 2026 conflict spike</w:t>
            </w:r>
          </w:p>
        </w:tc>
      </w:tr>
      <w:tr w:rsidR="005135D7" w14:paraId="50ED11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650C" w14:textId="77777777" w:rsidR="005135D7" w:rsidRDefault="00000000">
            <w:r>
              <w:rPr>
                <w:b/>
                <w:bCs/>
                <w:color w:val="1B2A4A"/>
                <w:sz w:val="19"/>
                <w:szCs w:val="19"/>
              </w:rPr>
              <w:t>Fuel Price Increase by Country (Bar)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322E" w14:textId="77777777" w:rsidR="005135D7" w:rsidRDefault="00000000">
            <w:r>
              <w:rPr>
                <w:color w:val="2C3E50"/>
                <w:sz w:val="19"/>
                <w:szCs w:val="19"/>
              </w:rPr>
              <w:t>Average % pump price increase during conflict phase per country</w:t>
            </w:r>
          </w:p>
        </w:tc>
      </w:tr>
      <w:tr w:rsidR="005135D7" w14:paraId="40F86C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54EE" w14:textId="77777777" w:rsidR="005135D7" w:rsidRDefault="00000000">
            <w:r>
              <w:rPr>
                <w:b/>
                <w:bCs/>
                <w:color w:val="1B2A4A"/>
                <w:sz w:val="19"/>
                <w:szCs w:val="19"/>
              </w:rPr>
              <w:t>Winners vs. Losers (Diverging Bar)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036F" w14:textId="77777777" w:rsidR="005135D7" w:rsidRDefault="00000000">
            <w:r>
              <w:rPr>
                <w:color w:val="2C3E50"/>
                <w:sz w:val="19"/>
                <w:szCs w:val="19"/>
              </w:rPr>
              <w:t>Positive GDP impact for Saudi Arabia/UAE vs. negative for South Asia/Europe</w:t>
            </w:r>
          </w:p>
        </w:tc>
      </w:tr>
      <w:tr w:rsidR="005135D7" w14:paraId="58036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0771" w14:textId="77777777" w:rsidR="005135D7" w:rsidRDefault="00000000">
            <w:r>
              <w:rPr>
                <w:b/>
                <w:bCs/>
                <w:color w:val="1B2A4A"/>
                <w:sz w:val="19"/>
                <w:szCs w:val="19"/>
              </w:rPr>
              <w:t>Energy &amp; Commodity Shock Indicator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2FED" w14:textId="77777777" w:rsidR="005135D7" w:rsidRDefault="00000000">
            <w:r>
              <w:rPr>
                <w:color w:val="2C3E50"/>
                <w:sz w:val="19"/>
                <w:szCs w:val="19"/>
              </w:rPr>
              <w:t>Pre vs. Active conflict phase comparison using bubble/scatter chart</w:t>
            </w:r>
          </w:p>
        </w:tc>
      </w:tr>
      <w:tr w:rsidR="005135D7" w14:paraId="702DB6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3360" w14:textId="77777777" w:rsidR="005135D7" w:rsidRDefault="00000000">
            <w:r>
              <w:rPr>
                <w:b/>
                <w:bCs/>
                <w:color w:val="1B2A4A"/>
                <w:sz w:val="19"/>
                <w:szCs w:val="19"/>
              </w:rPr>
              <w:t>Oil Price vs. Inflation by Country</w:t>
            </w:r>
          </w:p>
        </w:tc>
        <w:tc>
          <w:tcPr>
            <w:tcW w:w="6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9DBA" w14:textId="77777777" w:rsidR="005135D7" w:rsidRDefault="00000000">
            <w:r>
              <w:rPr>
                <w:color w:val="2C3E50"/>
                <w:sz w:val="19"/>
                <w:szCs w:val="19"/>
              </w:rPr>
              <w:t>Bivariate scatter — oil price against CPI; color-coded by country</w:t>
            </w:r>
          </w:p>
        </w:tc>
      </w:tr>
    </w:tbl>
    <w:p w14:paraId="24C79BFE" w14:textId="77777777" w:rsidR="005135D7" w:rsidRDefault="005135D7">
      <w:pPr>
        <w:spacing w:before="200"/>
      </w:pPr>
    </w:p>
    <w:p w14:paraId="18B82F86" w14:textId="77777777" w:rsidR="005135D7" w:rsidRDefault="00000000">
      <w:pPr>
        <w:pStyle w:val="Heading1"/>
        <w:pBdr>
          <w:bottom w:val="single" w:sz="8" w:space="4" w:color="D4A017"/>
        </w:pBdr>
      </w:pPr>
      <w:r>
        <w:t>8. Key Insights &amp; The Resilience Playbook</w:t>
      </w:r>
    </w:p>
    <w:p w14:paraId="6D03EFC2" w14:textId="77777777" w:rsidR="005135D7" w:rsidRDefault="005135D7">
      <w:pPr>
        <w:spacing w:before="8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3040"/>
        <w:gridCol w:w="3040"/>
      </w:tblGrid>
      <w:tr w:rsidR="005135D7" w14:paraId="73B516B7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4B11DBA3" w14:textId="77777777" w:rsidR="005135D7" w:rsidRDefault="00000000">
            <w:r>
              <w:rPr>
                <w:b/>
                <w:bCs/>
                <w:color w:val="D4A017"/>
              </w:rPr>
              <w:t>The Volatility Trap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0723E74B" w14:textId="77777777" w:rsidR="005135D7" w:rsidRDefault="00000000">
            <w:r>
              <w:rPr>
                <w:b/>
                <w:bCs/>
                <w:color w:val="D4A017"/>
              </w:rPr>
              <w:t>The Currency Crush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A4A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076CCB04" w14:textId="77777777" w:rsidR="005135D7" w:rsidRDefault="00000000">
            <w:r>
              <w:rPr>
                <w:b/>
                <w:bCs/>
                <w:color w:val="D4A017"/>
              </w:rPr>
              <w:t>The Policy Playbook</w:t>
            </w:r>
          </w:p>
        </w:tc>
      </w:tr>
      <w:tr w:rsidR="005135D7" w14:paraId="12532B41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5356884" w14:textId="77777777" w:rsidR="005135D7" w:rsidRDefault="00000000">
            <w:r>
              <w:rPr>
                <w:color w:val="2C3E50"/>
                <w:sz w:val="20"/>
                <w:szCs w:val="20"/>
              </w:rPr>
              <w:t>Oil price is the ultimate leading indicator. A 22.06% crude spike directly orchestrates a proportional surge in global CPI — with zero lag.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CF73125" w14:textId="77777777" w:rsidR="005135D7" w:rsidRDefault="00000000">
            <w:r>
              <w:rPr>
                <w:color w:val="2C3E50"/>
                <w:sz w:val="20"/>
                <w:szCs w:val="20"/>
              </w:rPr>
              <w:t>100% import-dependent nations face not just inflation but currency collapse. Expensive oil imports drain forex reserves, triggering devaluation spirals — a dual crisis.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2254430" w14:textId="77777777" w:rsidR="005135D7" w:rsidRDefault="00000000">
            <w:r>
              <w:rPr>
                <w:color w:val="2C3E50"/>
                <w:sz w:val="19"/>
                <w:szCs w:val="19"/>
              </w:rPr>
              <w:t>• Mandate energy diversification (Germany's renewable pivot)</w:t>
            </w:r>
          </w:p>
          <w:p w14:paraId="4AB5C712" w14:textId="77777777" w:rsidR="005135D7" w:rsidRDefault="00000000">
            <w:pPr>
              <w:spacing w:before="60"/>
            </w:pPr>
            <w:r>
              <w:rPr>
                <w:color w:val="2C3E50"/>
                <w:sz w:val="19"/>
                <w:szCs w:val="19"/>
              </w:rPr>
              <w:t>• Expand Strategic Petroleum Reserves (US &amp; India model)</w:t>
            </w:r>
          </w:p>
          <w:p w14:paraId="3AA2CB04" w14:textId="77777777" w:rsidR="005135D7" w:rsidRDefault="00000000">
            <w:pPr>
              <w:spacing w:before="60"/>
            </w:pPr>
            <w:r>
              <w:rPr>
                <w:color w:val="2C3E50"/>
                <w:sz w:val="19"/>
                <w:szCs w:val="19"/>
              </w:rPr>
              <w:t>• Pre-emptively model supply chain reroutes before active conflict phases</w:t>
            </w:r>
          </w:p>
        </w:tc>
      </w:tr>
    </w:tbl>
    <w:p w14:paraId="1BAF0514" w14:textId="77777777" w:rsidR="005135D7" w:rsidRDefault="005135D7">
      <w:pPr>
        <w:spacing w:before="200"/>
      </w:pPr>
    </w:p>
    <w:p w14:paraId="2462870A" w14:textId="77777777" w:rsidR="005135D7" w:rsidRDefault="00000000">
      <w:pPr>
        <w:pStyle w:val="Heading1"/>
        <w:pBdr>
          <w:bottom w:val="single" w:sz="8" w:space="4" w:color="D4A017"/>
        </w:pBdr>
      </w:pPr>
      <w:r>
        <w:t>9. Methodology &amp; Technical Stack</w:t>
      </w:r>
    </w:p>
    <w:p w14:paraId="72E35C01" w14:textId="77777777" w:rsidR="005135D7" w:rsidRDefault="00000000">
      <w:pPr>
        <w:spacing w:before="60" w:after="60"/>
      </w:pPr>
      <w:r>
        <w:rPr>
          <w:b/>
          <w:bCs/>
          <w:color w:val="1B2A4A"/>
        </w:rPr>
        <w:t xml:space="preserve">Data Collection: </w:t>
      </w:r>
      <w:r>
        <w:rPr>
          <w:color w:val="2C3E50"/>
        </w:rPr>
        <w:t>Manual curation + World Bank open data APIs; 5 CSV datasets cleaned</w:t>
      </w:r>
    </w:p>
    <w:p w14:paraId="174D763F" w14:textId="77777777" w:rsidR="005135D7" w:rsidRDefault="00000000">
      <w:pPr>
        <w:spacing w:before="60" w:after="60"/>
      </w:pPr>
      <w:r>
        <w:rPr>
          <w:b/>
          <w:bCs/>
          <w:color w:val="1B2A4A"/>
        </w:rPr>
        <w:t xml:space="preserve">Data Cleaning: </w:t>
      </w:r>
      <w:r>
        <w:rPr>
          <w:color w:val="2C3E50"/>
        </w:rPr>
        <w:t>Null imputation, currency normalisation, timestamp standardisation, index standardisation</w:t>
      </w:r>
    </w:p>
    <w:p w14:paraId="11BE0750" w14:textId="77777777" w:rsidR="005135D7" w:rsidRDefault="00000000">
      <w:pPr>
        <w:spacing w:before="60" w:after="60"/>
      </w:pPr>
      <w:r>
        <w:rPr>
          <w:b/>
          <w:bCs/>
          <w:color w:val="1B2A4A"/>
        </w:rPr>
        <w:t xml:space="preserve">Impact Score Formula: </w:t>
      </w:r>
      <w:r>
        <w:rPr>
          <w:color w:val="2C3E50"/>
        </w:rPr>
        <w:t>[Inflation Risk Score (1–4)] + [Currency Pressure Score (1–4)] + [Vulnerability Score (1–4)] × country multiplier</w:t>
      </w:r>
    </w:p>
    <w:p w14:paraId="422B32EC" w14:textId="77777777" w:rsidR="005135D7" w:rsidRDefault="00000000">
      <w:pPr>
        <w:spacing w:before="60" w:after="60"/>
      </w:pPr>
      <w:r>
        <w:rPr>
          <w:b/>
          <w:bCs/>
          <w:color w:val="1B2A4A"/>
        </w:rPr>
        <w:lastRenderedPageBreak/>
        <w:t xml:space="preserve">Visualisation Tool: </w:t>
      </w:r>
      <w:r>
        <w:rPr>
          <w:color w:val="2C3E50"/>
        </w:rPr>
        <w:t>Microsoft Power BI Desktop (.</w:t>
      </w:r>
      <w:proofErr w:type="spellStart"/>
      <w:r>
        <w:rPr>
          <w:color w:val="2C3E50"/>
        </w:rPr>
        <w:t>pbix</w:t>
      </w:r>
      <w:proofErr w:type="spellEnd"/>
      <w:r>
        <w:rPr>
          <w:color w:val="2C3E50"/>
        </w:rPr>
        <w:t>) with custom DAX measures, map visuals, and conflict-phase slicers</w:t>
      </w:r>
    </w:p>
    <w:p w14:paraId="0E4D5DAE" w14:textId="770A9C80" w:rsidR="005135D7" w:rsidRDefault="00000000">
      <w:pPr>
        <w:spacing w:before="60" w:after="60"/>
      </w:pPr>
      <w:r>
        <w:rPr>
          <w:b/>
          <w:bCs/>
          <w:color w:val="1B2A4A"/>
        </w:rPr>
        <w:t xml:space="preserve">Presentation: </w:t>
      </w:r>
      <w:r w:rsidR="00CC543D">
        <w:rPr>
          <w:color w:val="2C3E50"/>
        </w:rPr>
        <w:t>Canva</w:t>
      </w:r>
      <w:r>
        <w:rPr>
          <w:color w:val="2C3E50"/>
        </w:rPr>
        <w:t xml:space="preserve"> for narrative storytelling</w:t>
      </w:r>
    </w:p>
    <w:p w14:paraId="490F9CCD" w14:textId="77777777" w:rsidR="005135D7" w:rsidRDefault="00000000">
      <w:pPr>
        <w:spacing w:before="60" w:after="60"/>
      </w:pPr>
      <w:r>
        <w:rPr>
          <w:b/>
          <w:bCs/>
          <w:color w:val="1B2A4A"/>
        </w:rPr>
        <w:t xml:space="preserve">Analytical Methods: </w:t>
      </w:r>
      <w:r>
        <w:rPr>
          <w:color w:val="2C3E50"/>
        </w:rPr>
        <w:t>Univariate, Bivariate, Multivariate, Geospatial, and Trend Analysis</w:t>
      </w:r>
    </w:p>
    <w:p w14:paraId="76FF2DF9" w14:textId="77777777" w:rsidR="005135D7" w:rsidRDefault="005135D7">
      <w:pPr>
        <w:spacing w:before="200"/>
      </w:pPr>
    </w:p>
    <w:p w14:paraId="3693B0EE" w14:textId="77777777" w:rsidR="005135D7" w:rsidRDefault="00000000">
      <w:pPr>
        <w:pStyle w:val="Heading1"/>
        <w:pBdr>
          <w:bottom w:val="single" w:sz="8" w:space="4" w:color="D4A017"/>
        </w:pBdr>
      </w:pPr>
      <w:r>
        <w:t>10. Conclusion</w:t>
      </w:r>
    </w:p>
    <w:p w14:paraId="5AF75D85" w14:textId="77777777" w:rsidR="005135D7" w:rsidRDefault="00000000">
      <w:pPr>
        <w:spacing w:before="80" w:after="80"/>
      </w:pPr>
      <w:r>
        <w:t>This project demonstrates that a conflict does not stay regional — it becomes a global economic event within days. The key structural finding is the Dependency Trap: nations that have not diversified their energy supply chains face compound crises — simultaneous inflation, currency collapse, and GDP contraction — that go far beyond what oil-price charts alone suggest.</w:t>
      </w:r>
    </w:p>
    <w:p w14:paraId="5ECBA6F5" w14:textId="77777777" w:rsidR="005135D7" w:rsidRDefault="005135D7">
      <w:pPr>
        <w:spacing w:before="80"/>
      </w:pPr>
    </w:p>
    <w:p w14:paraId="45D0F792" w14:textId="77777777" w:rsidR="005135D7" w:rsidRDefault="00000000">
      <w:pPr>
        <w:spacing w:before="80" w:after="80"/>
      </w:pPr>
      <w:r>
        <w:t>The Impact Score model, built from standardised macroeconomic variables, provides policymakers with a replicable pre-conflict risk ranking tool. Economies that invested in strategic reserves, domestic energy production, or renewable pivots proved measurably more resilient — a finding with direct relevance to current geopolitical risk management.</w:t>
      </w:r>
    </w:p>
    <w:p w14:paraId="7CB66B76" w14:textId="77777777" w:rsidR="005135D7" w:rsidRDefault="005135D7">
      <w:pPr>
        <w:spacing w:before="80"/>
      </w:pPr>
    </w:p>
    <w:p w14:paraId="7D457C62" w14:textId="77777777" w:rsidR="005135D7" w:rsidRDefault="00000000">
      <w:pPr>
        <w:spacing w:before="80" w:after="80"/>
      </w:pPr>
      <w:r>
        <w:rPr>
          <w:b/>
          <w:bCs/>
          <w:color w:val="1B2A4A"/>
        </w:rPr>
        <w:t>Oil price volatility is not just a commodity market story. It is the first domino in a global causal chain — and the best early-warning signal available to governments, central banks, and investors.</w:t>
      </w:r>
    </w:p>
    <w:p w14:paraId="6DC1B8CE" w14:textId="77777777" w:rsidR="005135D7" w:rsidRDefault="005135D7">
      <w:pPr>
        <w:spacing w:before="240"/>
      </w:pPr>
    </w:p>
    <w:p w14:paraId="3BDBA4C2" w14:textId="77777777" w:rsidR="005135D7" w:rsidRDefault="00000000">
      <w:pPr>
        <w:pBdr>
          <w:top w:val="single" w:sz="6" w:space="4" w:color="D4A017"/>
        </w:pBdr>
        <w:spacing w:before="200" w:after="60"/>
        <w:jc w:val="center"/>
      </w:pPr>
      <w:r>
        <w:rPr>
          <w:color w:val="7F8C8D"/>
          <w:sz w:val="18"/>
          <w:szCs w:val="18"/>
        </w:rPr>
        <w:t xml:space="preserve">Global Ripple Effects  |  SAKEC College SYIT BTech  |  Prem Baraskar · Omkar </w:t>
      </w:r>
      <w:proofErr w:type="spellStart"/>
      <w:r>
        <w:rPr>
          <w:color w:val="7F8C8D"/>
          <w:sz w:val="18"/>
          <w:szCs w:val="18"/>
        </w:rPr>
        <w:t>Narsale</w:t>
      </w:r>
      <w:proofErr w:type="spellEnd"/>
      <w:r>
        <w:rPr>
          <w:color w:val="7F8C8D"/>
          <w:sz w:val="18"/>
          <w:szCs w:val="18"/>
        </w:rPr>
        <w:t xml:space="preserve"> · Abhinav Lal  |  Hackathon 2026</w:t>
      </w:r>
    </w:p>
    <w:sectPr w:rsidR="005135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1464F"/>
    <w:multiLevelType w:val="hybridMultilevel"/>
    <w:tmpl w:val="3026778E"/>
    <w:lvl w:ilvl="0" w:tplc="0D282D5A">
      <w:start w:val="1"/>
      <w:numFmt w:val="bullet"/>
      <w:lvlText w:val="●"/>
      <w:lvlJc w:val="left"/>
      <w:pPr>
        <w:ind w:left="720" w:hanging="360"/>
      </w:pPr>
    </w:lvl>
    <w:lvl w:ilvl="1" w:tplc="561007E6">
      <w:start w:val="1"/>
      <w:numFmt w:val="bullet"/>
      <w:lvlText w:val="○"/>
      <w:lvlJc w:val="left"/>
      <w:pPr>
        <w:ind w:left="1440" w:hanging="360"/>
      </w:pPr>
    </w:lvl>
    <w:lvl w:ilvl="2" w:tplc="4D227316">
      <w:start w:val="1"/>
      <w:numFmt w:val="bullet"/>
      <w:lvlText w:val="■"/>
      <w:lvlJc w:val="left"/>
      <w:pPr>
        <w:ind w:left="2160" w:hanging="360"/>
      </w:pPr>
    </w:lvl>
    <w:lvl w:ilvl="3" w:tplc="7318FE14">
      <w:start w:val="1"/>
      <w:numFmt w:val="bullet"/>
      <w:lvlText w:val="●"/>
      <w:lvlJc w:val="left"/>
      <w:pPr>
        <w:ind w:left="2880" w:hanging="360"/>
      </w:pPr>
    </w:lvl>
    <w:lvl w:ilvl="4" w:tplc="06BC9F5E">
      <w:start w:val="1"/>
      <w:numFmt w:val="bullet"/>
      <w:lvlText w:val="○"/>
      <w:lvlJc w:val="left"/>
      <w:pPr>
        <w:ind w:left="3600" w:hanging="360"/>
      </w:pPr>
    </w:lvl>
    <w:lvl w:ilvl="5" w:tplc="8202F838">
      <w:start w:val="1"/>
      <w:numFmt w:val="bullet"/>
      <w:lvlText w:val="■"/>
      <w:lvlJc w:val="left"/>
      <w:pPr>
        <w:ind w:left="4320" w:hanging="360"/>
      </w:pPr>
    </w:lvl>
    <w:lvl w:ilvl="6" w:tplc="2606105E">
      <w:start w:val="1"/>
      <w:numFmt w:val="bullet"/>
      <w:lvlText w:val="●"/>
      <w:lvlJc w:val="left"/>
      <w:pPr>
        <w:ind w:left="5040" w:hanging="360"/>
      </w:pPr>
    </w:lvl>
    <w:lvl w:ilvl="7" w:tplc="4324195E">
      <w:start w:val="1"/>
      <w:numFmt w:val="bullet"/>
      <w:lvlText w:val="●"/>
      <w:lvlJc w:val="left"/>
      <w:pPr>
        <w:ind w:left="5760" w:hanging="360"/>
      </w:pPr>
    </w:lvl>
    <w:lvl w:ilvl="8" w:tplc="7C38FF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9469E"/>
    <w:multiLevelType w:val="hybridMultilevel"/>
    <w:tmpl w:val="D2F212AE"/>
    <w:lvl w:ilvl="0" w:tplc="DE3C3598">
      <w:start w:val="1"/>
      <w:numFmt w:val="bullet"/>
      <w:lvlText w:val="•"/>
      <w:lvlJc w:val="left"/>
      <w:pPr>
        <w:ind w:left="720" w:hanging="360"/>
      </w:pPr>
    </w:lvl>
    <w:lvl w:ilvl="1" w:tplc="6D027670">
      <w:numFmt w:val="decimal"/>
      <w:lvlText w:val=""/>
      <w:lvlJc w:val="left"/>
    </w:lvl>
    <w:lvl w:ilvl="2" w:tplc="052E243E">
      <w:numFmt w:val="decimal"/>
      <w:lvlText w:val=""/>
      <w:lvlJc w:val="left"/>
    </w:lvl>
    <w:lvl w:ilvl="3" w:tplc="A3C8C828">
      <w:numFmt w:val="decimal"/>
      <w:lvlText w:val=""/>
      <w:lvlJc w:val="left"/>
    </w:lvl>
    <w:lvl w:ilvl="4" w:tplc="2DD01104">
      <w:numFmt w:val="decimal"/>
      <w:lvlText w:val=""/>
      <w:lvlJc w:val="left"/>
    </w:lvl>
    <w:lvl w:ilvl="5" w:tplc="3466AA86">
      <w:numFmt w:val="decimal"/>
      <w:lvlText w:val=""/>
      <w:lvlJc w:val="left"/>
    </w:lvl>
    <w:lvl w:ilvl="6" w:tplc="6A34E642">
      <w:numFmt w:val="decimal"/>
      <w:lvlText w:val=""/>
      <w:lvlJc w:val="left"/>
    </w:lvl>
    <w:lvl w:ilvl="7" w:tplc="0C069482">
      <w:numFmt w:val="decimal"/>
      <w:lvlText w:val=""/>
      <w:lvlJc w:val="left"/>
    </w:lvl>
    <w:lvl w:ilvl="8" w:tplc="E4342930">
      <w:numFmt w:val="decimal"/>
      <w:lvlText w:val=""/>
      <w:lvlJc w:val="left"/>
    </w:lvl>
  </w:abstractNum>
  <w:num w:numId="1" w16cid:durableId="1562138709">
    <w:abstractNumId w:val="0"/>
    <w:lvlOverride w:ilvl="0">
      <w:startOverride w:val="1"/>
    </w:lvlOverride>
  </w:num>
  <w:num w:numId="2" w16cid:durableId="89744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5D7"/>
    <w:rsid w:val="005135D7"/>
    <w:rsid w:val="00AF41AC"/>
    <w:rsid w:val="00CC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8DC5"/>
  <w15:docId w15:val="{87EBAC04-91D4-4D7B-ADCE-83DB705F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1471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 BARASKAR</cp:lastModifiedBy>
  <cp:revision>2</cp:revision>
  <dcterms:created xsi:type="dcterms:W3CDTF">2026-04-23T16:50:00Z</dcterms:created>
  <dcterms:modified xsi:type="dcterms:W3CDTF">2026-04-23T16:54:00Z</dcterms:modified>
</cp:coreProperties>
</file>