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Learning-Augmented KV-Cache Retention for Tool-Using LLM Agents</w:t>
      </w:r>
    </w:p>
    <w:p>
      <w:pPr>
        <w:pStyle w:val="BodyText"/>
      </w:pPr>
      <w:r>
        <w:t xml:space="preserve">Group 9 — David Mei · Omkar Lashkare · Brian Park · Zijie Shen · Hangting Lu</w:t>
      </w:r>
    </w:p>
    <w:bookmarkStart w:id="20" w:name="objective-and-project-description"/>
    <w:p>
      <w:pPr>
        <w:pStyle w:val="Heading2"/>
      </w:pPr>
      <w:r>
        <w:t xml:space="preserve">Objective and Project Description</w:t>
      </w:r>
    </w:p>
    <w:p>
      <w:pPr>
        <w:pStyle w:val="FirstParagraph"/>
      </w:pPr>
      <w:r>
        <w:t xml:space="preserve">Our project investigates when an LLM serving system should retain a tool-using agent’s key–value (KV) cache during a tool-call pause. Retaining avoids reprocessing a long context when the agent returns but occupies scarce GPU memory; evicting frees capacity yet incurs recomputation and queueing delay. We formulate the choice as online ski rental: the pause duration is unknown, holding costs accumulate until the agent returns or the cache is evicted, and eviction incurs a one-time penalty if the pause continues. Our learning-augmented policy uses a predicted return time and a trust parameter λ to choose retention within a bounded range around the prediction-free break-even time</w:t>
      </w:r>
      <w:r>
        <w:t xml:space="preserve"> </w:t>
      </w:r>
      <w:r>
        <w:rPr>
          <w:i/>
          <w:iCs/>
        </w:rPr>
        <w:t xml:space="preserve">b = B/c</w:t>
      </w:r>
      <w:r>
        <w:t xml:space="preserve">. Unlike an ordinary prediction-based TTL, the contribution is the explicit consistency–robustness trade-off together with evaluation of</w:t>
      </w:r>
      <w:r>
        <w:t xml:space="preserve"> </w:t>
      </w:r>
      <w:r>
        <w:rPr>
          <w:b/>
          <w:bCs/>
        </w:rPr>
        <w:t xml:space="preserve">when prediction actually helps</w:t>
      </w:r>
      <w:r>
        <w:t xml:space="preserve"> </w:t>
      </w:r>
      <w:r>
        <w:t xml:space="preserve">— we treat prediction quality as an independent variable, which no prior system has done. Theory addresses a single pause; a trace-driven, capacity-constrained simulator addresses concurrent load. Continuum-style TTL is compared under identical traces, budgets, and cost assumptions.</w:t>
      </w:r>
    </w:p>
    <w:bookmarkEnd w:id="20"/>
    <w:bookmarkStart w:id="21" w:name="timeline-and-expected-deliverables"/>
    <w:p>
      <w:pPr>
        <w:pStyle w:val="Heading2"/>
      </w:pPr>
      <w:r>
        <w:t xml:space="preserve">Timeline and Expected Deliverables</w:t>
      </w:r>
    </w:p>
    <w:p>
      <w:pPr>
        <w:pStyle w:val="FirstParagraph"/>
      </w:pPr>
      <w:r>
        <w:t xml:space="preserve">The plan spans ten weeks with buffers in Weeks 2, 5, and 8. Weeks 1–2 cover literature, research question, novelty gap, and evaluation design; Week 3 processes real agent traces; Week 4 builds duration predictors; Week 5 delivered the progress presentation; Weeks 6–7 develop the retention rule, simulator, baselines, and initial sweeps; Week 8 stabilizes these and studies prediction failure. The repository documents work through Week 8. Week 9 priorities are hardware cost calibration, predictor precision work, and validating the scarce-memory experiments. Week 10 is reserved for final figures, reproducible code, the report, and the presentation. Percentages below estimate readiness of each promised output, not hours spent.</w:t>
      </w:r>
    </w:p>
    <w:bookmarkEnd w:id="21"/>
    <w:bookmarkStart w:id="22" w:name="X06cd6fb86f1c46f65cc2fcf372ea0f8faa3bb0d"/>
    <w:p>
      <w:pPr>
        <w:pStyle w:val="Heading2"/>
      </w:pPr>
      <w:r>
        <w:t xml:space="preserve">Deliverable Progress and Completion Plans</w:t>
      </w:r>
    </w:p>
    <w:p>
      <w:pPr>
        <w:pStyle w:val="FirstParagraph"/>
      </w:pPr>
      <w:r>
        <w:rPr>
          <w:b/>
          <w:bCs/>
        </w:rPr>
        <w:t xml:space="preserve">Literature review and processed traces — 100% complete.</w:t>
      </w:r>
      <w:r>
        <w:t xml:space="preserve"> </w:t>
      </w:r>
      <w:r>
        <w:t xml:space="preserve">The novelty review covers Continuum, TraceLab, InferCept, SAGA, ConServe, Choi &amp; Joshi, and learning-augmented ski-rental. We built and audited the TraceLab pause pipeline: the canonical table holds 357,161 records across 33 columns, of which 351,497 meet the upstream completeness criteria; Version 2 corrected roughly 32,000 mismeasured Codex pauses. Scripts, provenance checks, plots, and documentation are committed. Remaining work is carrying these definitions into the final report.</w:t>
      </w:r>
    </w:p>
    <w:p>
      <w:pPr>
        <w:pStyle w:val="BodyText"/>
      </w:pPr>
      <w:r>
        <w:rPr>
          <w:b/>
          <w:bCs/>
        </w:rPr>
        <w:t xml:space="preserve">Workload characterization and tool-duration prediction — 95% complete.</w:t>
      </w:r>
      <w:r>
        <w:t xml:space="preserve"> </w:t>
      </w:r>
      <w:r>
        <w:t xml:space="preserve">We evaluated 311,764 supervised pauses with session-level splits to prevent leakage across turns. The selected gradient-boosted median predictor reaches a test log1p-MAE of 0.5441, a significant gain over the per-tool median. The analysis then exposed a</w:t>
      </w:r>
      <w:r>
        <w:t xml:space="preserve"> </w:t>
      </w:r>
      <w:r>
        <w:rPr>
          <w:b/>
          <w:bCs/>
        </w:rPr>
        <w:t xml:space="preserve">mismatch between duration accuracy and the retention decision</w:t>
      </w:r>
      <w:r>
        <w:t xml:space="preserve">: the policy consumes only one bit — whether the pause outlasts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— and on that bit the model had 22.3% recall, because log-error is dominated by the 95% of pauses that are short. Retraining directly on P(T ≥ b), with the acting threshold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from the cost asymmetry (29:1, giving p* = 0.033) rather than set to 0.5, raised recall to 87.0% but dropped precision to 14.6%. The fix was</w:t>
      </w:r>
      <w:r>
        <w:t xml:space="preserve"> </w:t>
      </w:r>
      <w:r>
        <w:rPr>
          <w:b/>
          <w:bCs/>
        </w:rPr>
        <w:t xml:space="preserve">session history</w:t>
      </w:r>
      <w:r>
        <w:t xml:space="preserve">, which the Week 4 feature set omitted entirely: a long pause makes the next pause in that session 6.15× more likely to be long (37.5% against a 6.1% base rate; lag-1 autocorrelation 0.396). Adding it lifted average precision from 0.48 to 0.62 and roughly doubled precision at the operating point. The signal was present, leakage-free, and simply never supplied.</w:t>
      </w:r>
    </w:p>
    <w:p>
      <w:pPr>
        <w:pStyle w:val="BodyText"/>
      </w:pPr>
      <w:r>
        <w:rPr>
          <w:b/>
          <w:bCs/>
        </w:rPr>
        <w:t xml:space="preserve">Learning-augmented policy and theory — 90% complete.</w:t>
      </w:r>
      <w:r>
        <w:t xml:space="preserve"> </w:t>
      </w:r>
      <w:r>
        <w:t xml:space="preserve">The single-pause cost model, break-even fallback, and λ-policy are implemented, confining the timeout to [λb, b/λ]; at λ = 0.5 the worst-case bound is 3× the clairvoyant single-pause optimum, and probes confirm the implementation attains 1 + 1/λ exactly at both tight cases without exceeding it. Both fixed and cache-size-proportional occupancy costs are supported, and</w:t>
      </w:r>
      <w:r>
        <w:t xml:space="preserve"> </w:t>
      </w:r>
      <w:r>
        <w:rPr>
          <w:b/>
          <w:bCs/>
        </w:rPr>
        <w:t xml:space="preserve">measuring both settled an open question from Week 1</w:t>
      </w:r>
      <w:r>
        <w:t xml:space="preserve">: under fixed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the break-even time spans 622× across requests (3.5 s to 209 s), while under proportional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it is identically 75.0 s and a fixed TTL becomes exactly equivalent to the break-even rule. Remaining: a concise proof, stated as applying to the single-pause model and not to completion time under load.</w:t>
      </w:r>
    </w:p>
    <w:p>
      <w:pPr>
        <w:pStyle w:val="BodyText"/>
      </w:pPr>
      <w:r>
        <w:rPr>
          <w:b/>
          <w:bCs/>
        </w:rPr>
        <w:t xml:space="preserve">Trace-driven simulator and baselines — 90% complete.</w:t>
      </w:r>
      <w:r>
        <w:t xml:space="preserve"> </w:t>
      </w:r>
      <w:r>
        <w:t xml:space="preserve">The discrete-event simulator models a bounded KV pool, LRU victim selection under pressure, and serialized recomputation. Seven retention policies are compared as interchangeable functions over identical traces: immediate eviction, always-retain, fixed TTL, break-even TTL, reconstructed Continuum-style TTL, our λ-policy, and a per-pause clairvoyant oracle. (LRU is the simulator’s victim-selection rule, applying once memory is full, not a retention rule.) Instrumentation revealed that at a 150k-token budget 47.6% of admissions exceed total capacity, so those runs measure an undersized pool rather than a policy and are excluded. Remaining is the oracle’s interpretation: minimizing single-pause cost does not minimize system latency, so we will report a per-session bound or invoke the proposal’s fallback.</w:t>
      </w:r>
    </w:p>
    <w:p>
      <w:pPr>
        <w:pStyle w:val="BodyText"/>
      </w:pPr>
      <w:r>
        <w:rPr>
          <w:b/>
          <w:bCs/>
        </w:rPr>
        <w:t xml:space="preserve">Empirical evaluation — 80% complete.</w:t>
      </w:r>
      <w:r>
        <w:t xml:space="preserve"> </w:t>
      </w:r>
      <w:r>
        <w:t xml:space="preserve">The repository contains a 19-condition prediction-error sweep across two cost models and sweeps over memory budget and concurrency.</w:t>
      </w:r>
      <w:r>
        <w:t xml:space="preserve"> </w:t>
      </w:r>
      <w:r>
        <w:rPr>
          <w:b/>
          <w:bCs/>
        </w:rPr>
        <w:t xml:space="preserve">The largest and most robust result is that immediate eviction — what vLLM and SGLang do today — increases job completion time by 6.4× to 14.7× over any retention policy, and is insensitive to the memory budget because it never holds anything.</w:t>
      </w:r>
      <w:r>
        <w:t xml:space="preserve"> </w:t>
      </w:r>
      <w:r>
        <w:t xml:space="preserve">Differences among retention policies are 1–4% by comparison. Within that band, the Week 4 median predictor made modeled cost 26.2% worse than ignoring it, against a 23.8% ceiling under perfect prediction.</w:t>
      </w:r>
      <w:r>
        <w:t xml:space="preserve"> </w:t>
      </w:r>
      <w:r>
        <w:rPr>
          <w:b/>
          <w:bCs/>
        </w:rPr>
        <w:t xml:space="preserve">With session-history features that reverses</w:t>
      </w:r>
      <w:r>
        <w:t xml:space="preserve">: cross-validated over all 3,667 sessions, the prediction-aware policy beats prediction-free break-even by a statistically significant margin under both cost models (fixed +0.059, 95% CI [+0.016, +0.103]; proportional +0.050, [+0.019, +0.082]), and the result survives excluding the rows used to pick the operating threshold. The single inherited 384-session test split could not resolve this — its long-pause rate is 4.5% against 6.2% pooled, so it is unrepresentative on precisely the quantity the decision turns on. Under replicated load, always-retain with LRU still beats every voluntary-eviction policy and even the per-pause oracle (72,538 s vs 74,165 s), because eviction causes re-prefill and re-prefill, not memory, is the binding constraint. Remaining: hardware calibration and matched Continuum comparisons.</w:t>
      </w:r>
    </w:p>
    <w:p>
      <w:pPr>
        <w:pStyle w:val="BodyText"/>
      </w:pPr>
      <w:r>
        <w:rPr>
          <w:b/>
          <w:bCs/>
        </w:rPr>
        <w:t xml:space="preserve">Reproducible artifacts and final communication — 85% complete.</w:t>
      </w:r>
      <w:r>
        <w:t xml:space="preserve"> </w:t>
      </w:r>
      <w:r>
        <w:t xml:space="preserve">GitHub holds dataset scripts, prediction and simulation code, 40 passing tests, experiment configurations, tables, figures, presentation material, and a drafted report; every experiment records its configuration and source commit. Week 10 work is rerunning final analyses, pinning library versions, reconciling cross-platform numerical drift, and submitting report, slides, and code. Optional vLLM/GPU deployment is not required for the core deliverable.</w:t>
      </w:r>
    </w:p>
    <w:bookmarkEnd w:id="22"/>
    <w:bookmarkStart w:id="23" w:name="Xc618c9e2b74232075b2df669c9366e7a879dbff"/>
    <w:p>
      <w:pPr>
        <w:pStyle w:val="Heading2"/>
      </w:pPr>
      <w:r>
        <w:t xml:space="preserve">Difficulties and Risks to On-Time Completion</w:t>
      </w:r>
    </w:p>
    <w:p>
      <w:pPr>
        <w:pStyle w:val="FirstParagraph"/>
      </w:pPr>
      <w:r>
        <w:t xml:space="preserve">The principal risk is establishing how far the simulation results generalize, not completing the implementation. TraceLab durations are heavy-tailed and the released traces are sanitized, so tool arguments are incomplete and trace-derived pauses are proxies for GPU cache residency rather than measurements. Rare long pauses dominate the decision even when average error is good, and some spread is irreducible: within identical (provider, tool, tool-count, input-size-decile) groups the p90/p10 duration ratio is still 67×, so session history helps as a proxy for hidden state rather than by removing it. Evaluation power is the other constraint — the cost metric is driven by the ~5% of pauses that are long, which is why conclusions about it need cross-validation rather than a single split. The sharpest sensitivity is the occupancy-cost definition: whether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scales with cache size changes the sign of the headline, and prefill speed and memory opportunity cost are not yet calibrated on hardware, so both</w:t>
      </w:r>
      <w:r>
        <w:t xml:space="preserve"> </w:t>
      </w:r>
      <w:r>
        <w:t xml:space="preserve">“prediction helps”</w:t>
      </w:r>
      <w:r>
        <w:t xml:space="preserve"> </w:t>
      </w:r>
      <w:r>
        <w:t xml:space="preserve">and</w:t>
      </w:r>
      <w:r>
        <w:t xml:space="preserve"> </w:t>
      </w:r>
      <w:r>
        <w:t xml:space="preserve">“prediction does not help”</w:t>
      </w:r>
      <w:r>
        <w:t xml:space="preserve"> </w:t>
      </w:r>
      <w:r>
        <w:t xml:space="preserve">remain supportable. Our Continuum baseline is a reconstruction, not the authors’ implementation, so its numbers are not comparable to their published figures. Two further scope limits: the simulator assumes session affinity, and high-concurrency runs require synthetic replication of the session population. Week 9 prioritizes calibration and sensitivity and records these limits; Week 10 favors stable reproducible outputs over optional CPU-offload or vLLM integration.</w:t>
      </w:r>
    </w:p>
    <w:bookmarkEnd w:id="23"/>
    <w:sectPr w:rsidR="00FC693F" w:rsidRPr="0006063C" w:rsidSect="00034616">
      <w:footerReference r:id="rId9" w:type="default"/>
      <w:pgSz w:h="15840" w:w="12240"/>
      <w:pgMar w:bottom="1094" w:footer="576" w:gutter="0" w:header="504" w:left="1238" w:right="1238" w:top="112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0" w:after="0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276" w:lineRule="auto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276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themeColor="accent1" w:themeShade="BF" w:val="365F91"/>
      <w:sz w:val="2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76" w:lineRule="auto"/>
      <w:contextualSpacing/>
    </w:pPr>
    <w:rPr>
      <w:rFonts w:ascii="Times New Roman" w:asciiTheme="majorHAnsi" w:cstheme="majorBidi" w:eastAsiaTheme="majorEastAsia" w:hAnsi="Times New Roman" w:hAnsiTheme="majorHAnsi"/>
      <w:color w:themeColor="text2" w:themeShade="BF" w:val="17365D"/>
      <w:spacing w:val="5"/>
      <w:kern w:val="28"/>
      <w:sz w:val="2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/>
    </w:pPr>
    <w:rPr>
      <w:rFonts w:ascii="Times New Roman" w:asciiTheme="majorHAnsi" w:cstheme="majorBidi" w:eastAsiaTheme="majorEastAsia" w:hAnsi="Times New Roman" w:hAnsiTheme="majorHAnsi"/>
      <w:i/>
      <w:iCs/>
      <w:color w:themeColor="accent1" w:val="4F81BD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ReportHeading" w:type="paragraph">
    <w:name w:val="Report Heading"/>
    <w:basedOn w:val="Normal"/>
    <w:pPr>
      <w:keepNext/>
      <w:spacing w:after="60" w:before="180" w:line="276" w:lineRule="auto"/>
    </w:pPr>
    <w:rPr>
      <w:rFonts w:ascii="Times New Roman" w:hAnsi="Times New Roman"/>
      <w:b/>
      <w:sz w:val="22"/>
    </w:rPr>
  </w:style>
  <w:style w:customStyle="1" w:styleId="StatusEntry" w:type="paragraph">
    <w:name w:val="Status Entry"/>
    <w:basedOn w:val="Normal"/>
    <w:pPr>
      <w:keepLines/>
      <w:spacing w:after="140" w:before="0" w:line="276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2026-10-28T01:02:14Z</dcterms:created>
  <dcterms:modified xsi:type="dcterms:W3CDTF">2026-10-28T01:02:14Z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