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line="276" w:lineRule="auto" w:before="0"/>
        <w:jc w:val="center"/>
      </w:pPr>
      <w:r>
        <w:rPr>
          <w:rFonts w:ascii="Times New Roman" w:hAnsi="Times New Roman" w:eastAsia="Times New Roman"/>
          <w:b/>
          <w:sz w:val="22"/>
        </w:rPr>
        <w:t>Learning-Augmented KV-Cache Retention for Tool-Using LLM Agents</w:t>
      </w:r>
    </w:p>
    <w:p>
      <w:pPr>
        <w:pStyle w:val="ReportHeading"/>
        <w:keepNext/>
        <w:widowControl/>
        <w:spacing w:line="276" w:lineRule="auto"/>
      </w:pPr>
      <w:r>
        <w:rPr>
          <w:rFonts w:ascii="Times New Roman" w:hAnsi="Times New Roman" w:eastAsia="Times New Roman"/>
          <w:sz w:val="22"/>
        </w:rPr>
        <w:t>Objective and Project Description</w:t>
      </w:r>
    </w:p>
    <w:p>
      <w:pPr>
        <w:widowControl/>
        <w:spacing w:line="276" w:lineRule="auto"/>
      </w:pPr>
      <w:r>
        <w:rPr>
          <w:rFonts w:ascii="Times New Roman" w:hAnsi="Times New Roman" w:eastAsia="Times New Roman"/>
          <w:sz w:val="22"/>
        </w:rPr>
        <w:t>Our project investigates when an LLM serving system should retain a tool-using agent’s key–value (KV) cache during a tool-call pause. Retaining the cache avoids reprocessing a potentially long context when the agent returns, but occupies scarce GPU memory; early eviction frees capacity yet incurs recomputation and possible queueing delay. We formulate the retain-or-evict choice as an online ski-rental problem: the pause duration is unknown, holding costs accumulate only until the agent returns or the cache is evicted, and eviction incurs a one-time penalty if the pause continues. Our learning-augmented policy uses a predicted return time and a trust parameter (λ) to choose retention within a bounded range around the prediction-free break-even time. The objective is to characterize both the benefit of accurate predictions and the worst-case cost of incorrect ones. Unlike an ordinary prediction-based TTL, the contribution is the explicit consistency–robustness trade-off, together with evaluation of when prediction actually helps. Theory addresses a single pause with fixed costs; a trace-driven, capacity-constrained simulator addresses concurrent requests and load. Continuum-style TTL policies are compared under the same traces, budgets, and cost assumptions.</w:t>
      </w:r>
    </w:p>
    <w:p>
      <w:pPr>
        <w:pStyle w:val="ReportHeading"/>
        <w:keepNext/>
        <w:widowControl/>
        <w:spacing w:line="276" w:lineRule="auto"/>
      </w:pPr>
      <w:r>
        <w:rPr>
          <w:rFonts w:ascii="Times New Roman" w:hAnsi="Times New Roman" w:eastAsia="Times New Roman"/>
          <w:sz w:val="22"/>
        </w:rPr>
        <w:t>Timeline and Expected Deliverables</w:t>
      </w:r>
    </w:p>
    <w:p>
      <w:pPr>
        <w:widowControl/>
        <w:spacing w:line="276" w:lineRule="auto"/>
      </w:pPr>
      <w:r>
        <w:rPr>
          <w:rFonts w:ascii="Times New Roman" w:hAnsi="Times New Roman" w:eastAsia="Times New Roman"/>
          <w:sz w:val="22"/>
        </w:rPr>
        <w:t>The original plan spans ten weeks, with buffers in Weeks 2, 5, and 8. Weeks 1–2 cover the literature, research question, novelty gap, and evaluation design; Week 3 processes real agent traces; Week 4 builds duration predictors and analyzes errors. Weeks 6–7 develop the retention rule, simulator, baselines, and initial tests; Week 8 stabilizes these components and studies prediction failures. The repository now documents work through Week 8. For Week 9, the priorities are hardware-cost calibration where feasible, further predictor diagnostics, and validation of the scarce-memory experiments. Week 10 is reserved for finalized figures, reproducible code and configurations, the written report, and presentation. Completion percentages below estimate readiness of each promised output, not hours spent.</w:t>
      </w:r>
    </w:p>
    <w:p>
      <w:pPr>
        <w:pStyle w:val="ReportHeading"/>
        <w:keepNext/>
        <w:widowControl/>
        <w:spacing w:line="276" w:lineRule="auto"/>
      </w:pPr>
      <w:r>
        <w:rPr>
          <w:rFonts w:ascii="Times New Roman" w:hAnsi="Times New Roman" w:eastAsia="Times New Roman"/>
          <w:sz w:val="22"/>
        </w:rPr>
        <w:t>Deliverable Progress and Completion Plans</w:t>
      </w:r>
    </w:p>
    <w:p>
      <w:pPr>
        <w:pStyle w:val="StatusEntry"/>
        <w:widowControl/>
        <w:spacing w:line="276" w:lineRule="auto"/>
      </w:pPr>
      <w:r>
        <w:rPr>
          <w:rFonts w:ascii="Times New Roman" w:hAnsi="Times New Roman" w:eastAsia="Times New Roman"/>
          <w:b/>
          <w:sz w:val="22"/>
        </w:rPr>
        <w:t>Literature review and processed traces — 100% complete.</w:t>
      </w:r>
      <w:r>
        <w:rPr>
          <w:rFonts w:ascii="Times New Roman" w:hAnsi="Times New Roman" w:eastAsia="Times New Roman"/>
          <w:b w:val="0"/>
          <w:sz w:val="22"/>
        </w:rPr>
        <w:t xml:space="preserve"> The literature and novelty review covers Continuum, TraceLab, InferCept, SAGA, and learning-augmented ski-rental algorithms. We built and audited the TraceLab pause/handoff pipeline; the canonical table contains 357,161 records and 33 columns, while an earlier usable-pause subset contains 351,497 pauses. Processing scripts, provenance checks, workload plots, and documentation are committed. The only remaining maintenance is to carry verified corrections and dataset definitions consistently into the final report.</w:t>
      </w:r>
    </w:p>
    <w:p>
      <w:pPr>
        <w:pStyle w:val="StatusEntry"/>
        <w:widowControl/>
        <w:spacing w:line="276" w:lineRule="auto"/>
      </w:pPr>
      <w:r>
        <w:rPr>
          <w:rFonts w:ascii="Times New Roman" w:hAnsi="Times New Roman" w:eastAsia="Times New Roman"/>
          <w:b/>
          <w:sz w:val="22"/>
        </w:rPr>
        <w:t>Workload characterization and tool-duration prediction — about 85% complete.</w:t>
      </w:r>
      <w:r>
        <w:rPr>
          <w:rFonts w:ascii="Times New Roman" w:hAnsi="Times New Roman" w:eastAsia="Times New Roman"/>
          <w:b w:val="0"/>
          <w:sz w:val="22"/>
        </w:rPr>
        <w:t xml:space="preserve"> We evaluated 311,764 supervised pauses using session-level train, validation, and test splits to avoid leakage. The selected gradient-boosted median predictor achieved a test log1p-MAE of 0.5441, but the analysis exposed a mismatch between duration accuracy and the retention decision. A classifier trained to identify pauses beyond the break-even threshold raised long-pause recall from 22.3% to 87.0%, while precision declined to 14.6%. Next, we will test available command-derived features and session history, examine calibration near the threshold, and document whether adequate decision-time precision is achievable.</w:t>
      </w:r>
    </w:p>
    <w:p>
      <w:pPr>
        <w:pStyle w:val="StatusEntry"/>
        <w:widowControl/>
        <w:spacing w:line="276" w:lineRule="auto"/>
      </w:pPr>
      <w:r>
        <w:rPr>
          <w:rFonts w:ascii="Times New Roman" w:hAnsi="Times New Roman" w:eastAsia="Times New Roman"/>
          <w:b/>
          <w:sz w:val="22"/>
        </w:rPr>
        <w:t>Learning-augmented policy and theory — about 90% complete.</w:t>
      </w:r>
      <w:r>
        <w:rPr>
          <w:rFonts w:ascii="Times New Roman" w:hAnsi="Times New Roman" w:eastAsia="Times New Roman"/>
          <w:b w:val="0"/>
          <w:sz w:val="22"/>
        </w:rPr>
        <w:t xml:space="preserve"> The single-pause cost model, break-even fallback, and λ-controlled retention policy are implemented. The policy confines the chosen timeout to [λb, b/λ], where b is the break-even time; at λ = 0.5, its stated worst-case cost bound is 3 times the clairvoyant single-pause optimum. Worst-case probes test the bound, and both fixed and cache-size-proportional occupancy costs are supported. We must finish a concise, self-contained proof and state clearly that the guarantee applies to the simplified single-pause model, not to global completion time under concurrent load.</w:t>
      </w:r>
    </w:p>
    <w:p>
      <w:pPr>
        <w:pStyle w:val="StatusEntry"/>
        <w:pageBreakBefore/>
        <w:widowControl/>
        <w:spacing w:line="276" w:lineRule="auto"/>
      </w:pPr>
      <w:r>
        <w:rPr>
          <w:rFonts w:ascii="Times New Roman" w:hAnsi="Times New Roman" w:eastAsia="Times New Roman"/>
          <w:b/>
          <w:sz w:val="22"/>
        </w:rPr>
        <w:t>Trace-driven simulator and baselines — about 90% complete.</w:t>
      </w:r>
      <w:r>
        <w:rPr>
          <w:rFonts w:ascii="Times New Roman" w:hAnsi="Times New Roman" w:eastAsia="Times New Roman"/>
          <w:b w:val="0"/>
          <w:sz w:val="22"/>
        </w:rPr>
        <w:t xml:space="preserve"> The Python discrete-event simulator includes limited KV-cache capacity, LRU eviction under pressure, and serialized cache recomputation. Seven core comparison policies include immediate eviction, always-retain, LRU, break-even TTL, our λ-policy, reconstructed Continuum-style TTL, and a per-pause clairvoyant oracle; fixed-TTL variants are also evaluated. At an unrealistically small 150k-token budget, 47.6% of admissions exceed total capacity, so those runs cannot fairly measure retention performance. The remaining task is to validate the oracle’s interpretation: minimizing single-pause cost does not necessarily minimize system-level latency. We will report a defensible per-session comparison bound or explicitly use the fallback set out in the proposal.</w:t>
      </w:r>
    </w:p>
    <w:p>
      <w:pPr>
        <w:pStyle w:val="StatusEntry"/>
        <w:widowControl/>
        <w:spacing w:line="276" w:lineRule="auto"/>
      </w:pPr>
      <w:r>
        <w:rPr>
          <w:rFonts w:ascii="Times New Roman" w:hAnsi="Times New Roman" w:eastAsia="Times New Roman"/>
          <w:b/>
          <w:sz w:val="22"/>
        </w:rPr>
        <w:t>Empirical evaluation — about 80% complete.</w:t>
      </w:r>
      <w:r>
        <w:rPr>
          <w:rFonts w:ascii="Times New Roman" w:hAnsi="Times New Roman" w:eastAsia="Times New Roman"/>
          <w:b w:val="0"/>
          <w:sz w:val="22"/>
        </w:rPr>
        <w:t xml:space="preserve"> The repository contains a 19-condition prediction-error sweep, two memory-cost models, and experiments varying memory budget and concurrency. Under proportional occupancy cost, the q90-based policy reduced modeled cost by roughly 3% relative to prediction-free break-even TTL; under fixed cost, none of the tested prediction signals improved on that baseline. With perfect predictions, the potential cost improvement was 23.8%, but a real median predictor made modeled cost 26.2% worse than ignoring its predictions. In valid simulated configurations, immediate eviction increased job completion time by 6.4–14.7 times relative to retention alternatives. Under replicated high load, always-retain with LRU can outperform voluntary TTL eviction, emphasizing that the simplified cost optimum is not a system optimum. We will calibrate or stress-test model parameters, finish matched Continuum comparisons, and mark synthetic-load results as simulation rather than GPU measurements.</w:t>
      </w:r>
    </w:p>
    <w:p>
      <w:pPr>
        <w:pStyle w:val="StatusEntry"/>
        <w:widowControl/>
        <w:spacing w:line="276" w:lineRule="auto"/>
      </w:pPr>
      <w:r>
        <w:rPr>
          <w:rFonts w:ascii="Times New Roman" w:hAnsi="Times New Roman" w:eastAsia="Times New Roman"/>
          <w:b/>
          <w:sz w:val="22"/>
        </w:rPr>
        <w:t>Reproducible artifacts and final communication — about 85% complete.</w:t>
      </w:r>
      <w:r>
        <w:rPr>
          <w:rFonts w:ascii="Times New Roman" w:hAnsi="Times New Roman" w:eastAsia="Times New Roman"/>
          <w:b w:val="0"/>
          <w:sz w:val="22"/>
        </w:rPr>
        <w:t xml:space="preserve"> GitHub includes dataset scripts, prediction and simulation code, policy tests, experiment configurations, tables, plots, presentation material, and a drafted research report. The latest repository notes report 38 passing tests; experiment outputs record configurations and source commit information for traceability. Week 10 work is to rerun the final analyses, pin library versions, reconcile cross-platform numerical drift, ensure figures and narrative agree, and submit the final report, slides, and code package. Optional vLLM/GPU deployment is not required for the core deliverable.</w:t>
      </w:r>
    </w:p>
    <w:p>
      <w:pPr>
        <w:pStyle w:val="ReportHeading"/>
        <w:keepNext/>
        <w:widowControl/>
        <w:spacing w:line="276" w:lineRule="auto"/>
      </w:pPr>
      <w:r>
        <w:rPr>
          <w:rFonts w:ascii="Times New Roman" w:hAnsi="Times New Roman" w:eastAsia="Times New Roman"/>
          <w:sz w:val="22"/>
        </w:rPr>
        <w:t>Difficulties and Risks to On-Time Completion</w:t>
      </w:r>
    </w:p>
    <w:p>
      <w:pPr>
        <w:widowControl/>
        <w:spacing w:line="276" w:lineRule="auto"/>
      </w:pPr>
      <w:r>
        <w:rPr>
          <w:rFonts w:ascii="Times New Roman" w:hAnsi="Times New Roman" w:eastAsia="Times New Roman"/>
          <w:sz w:val="22"/>
        </w:rPr>
        <w:t>The principal schedule risk is establishing how far the existing simulation results generalize, not completing the basic implementation. TraceLab durations are heavy-tailed and the released traces are sanitized; tool arguments are incomplete and trace-derived pauses are not direct measurements of GPU cache residency. Rare long pauses also dominate the decision even when the predictor achieves good average error. Our decision-focused classifier improved recall but lost precision, so further feature work may still produce a negative finding. Another major sensitivity is the occupancy-cost definition: changing whether cost scales with cache size changes the observed value of prediction. Prefill speed and memory opportunity costs have not yet been calibrated on hardware, and our Continuum baseline is a reconstruction rather than an identical production implementation. Finally, high-concurrency runs require synthetic replication, and the per-pause oracle can lose to LRU under coupled system dynamics. In Week 9 we will prioritize sensitivity and calibration, record these scope limits explicitly, and use the planned per-session bound if a true global oracle is infeasible. Week 10 will emphasize stable, reproducible outputs over optional CPU-offload or full vLLM integration, so unresolved extensions do not jeopardize submission.</w:t>
      </w:r>
    </w:p>
    <w:sectPr w:rsidR="00FC693F" w:rsidRPr="0006063C" w:rsidSect="00034616">
      <w:footerReference w:type="default" r:id="rId9"/>
      <w:pgSz w:w="12240" w:h="15840"/>
      <w:pgMar w:top="1123" w:right="1238" w:bottom="1094" w:left="1238"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20" w:after="0"/>
      <w:jc w:val="cen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76" w:lineRule="auto"/>
      <w:outlineLvl w:val="0"/>
    </w:pPr>
    <w:rPr>
      <w:rFonts w:asciiTheme="majorHAnsi" w:eastAsiaTheme="majorEastAsia" w:hAnsiTheme="majorHAnsi" w:cstheme="majorBidi" w:ascii="Times New Roman" w:hAnsi="Times New Roman"/>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76" w:lineRule="auto"/>
      <w:contextualSpacing/>
    </w:pPr>
    <w:rPr>
      <w:rFonts w:asciiTheme="majorHAnsi" w:eastAsiaTheme="majorEastAsia" w:hAnsiTheme="majorHAnsi" w:cstheme="majorBidi" w:ascii="Times New Roman" w:hAnsi="Times New Roman"/>
      <w:color w:val="17365D" w:themeColor="text2" w:themeShade="BF"/>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76" w:lineRule="auto"/>
    </w:pPr>
    <w:rPr>
      <w:rFonts w:asciiTheme="majorHAnsi" w:eastAsiaTheme="majorEastAsia" w:hAnsiTheme="majorHAnsi" w:cstheme="majorBidi" w:ascii="Times New Roman" w:hAnsi="Times New Roman"/>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Heading">
    <w:name w:val="Report Heading"/>
    <w:basedOn w:val="Normal"/>
    <w:pPr>
      <w:keepNext/>
      <w:spacing w:before="180" w:after="60" w:line="276" w:lineRule="auto"/>
    </w:pPr>
    <w:rPr>
      <w:rFonts w:ascii="Times New Roman" w:hAnsi="Times New Roman"/>
      <w:b/>
      <w:sz w:val="22"/>
    </w:rPr>
  </w:style>
  <w:style w:type="paragraph" w:customStyle="1" w:styleId="StatusEntry">
    <w:name w:val="Status Entry"/>
    <w:basedOn w:val="Normal"/>
    <w:pPr>
      <w:keepLines/>
      <w:spacing w:before="0" w:after="140" w:line="276" w:lineRule="auto"/>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