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New Roman" w:cs="Times New Roman" w:hAnsi="Times New Roman" w:eastAsia="Times New Roman"/>
          <w:i w:val="0"/>
          <w:iCs w:val="0"/>
          <w:sz w:val="36"/>
          <w:szCs w:val="36"/>
          <w:rtl w:val="0"/>
        </w:rPr>
      </w:pPr>
      <w:r>
        <w:rPr>
          <w:rFonts w:ascii="Trebuchet MS" w:hAnsi="Trebuchet MS"/>
          <w:b w:val="1"/>
          <w:bCs w:val="1"/>
          <w:i w:val="0"/>
          <w:iCs w:val="0"/>
          <w:sz w:val="40"/>
          <w:szCs w:val="40"/>
          <w:rtl w:val="0"/>
          <w:lang w:val="en-US"/>
        </w:rPr>
        <w:t xml:space="preserve">Visualization of Health: </w:t>
      </w:r>
      <w:r>
        <w:rPr>
          <w:rFonts w:ascii="Trebuchet MS" w:hAnsi="Trebuchet MS"/>
          <w:i w:val="1"/>
          <w:iCs w:val="1"/>
          <w:sz w:val="40"/>
          <w:szCs w:val="40"/>
          <w:rtl w:val="0"/>
          <w:lang w:val="en-US"/>
        </w:rPr>
        <w:t>Analysis of Visual Search Within Skin-Related Health Search</w:t>
      </w:r>
    </w:p>
    <w:p>
      <w:pPr>
        <w:pStyle w:val="Default"/>
        <w:numPr>
          <w:ilvl w:val="0"/>
          <w:numId w:val="2"/>
        </w:numPr>
        <w:bidi w:val="0"/>
        <w:spacing w:before="0" w:line="240" w:lineRule="auto"/>
        <w:ind w:right="0"/>
        <w:jc w:val="left"/>
        <w:rPr>
          <w:rFonts w:ascii="Trebuchet MS" w:hAnsi="Trebuchet MS"/>
          <w:sz w:val="40"/>
          <w:szCs w:val="40"/>
          <w:rtl w:val="0"/>
        </w:rPr>
      </w:pPr>
      <w:r>
        <w:rPr>
          <w:rFonts w:ascii="Trebuchet MS" w:hAnsi="Trebuchet MS"/>
          <w:b w:val="1"/>
          <w:bCs w:val="1"/>
          <w:sz w:val="40"/>
          <w:szCs w:val="40"/>
          <w:rtl w:val="0"/>
        </w:rPr>
        <w:t>Vision:</w:t>
      </w:r>
      <w:r>
        <w:rPr>
          <w:rFonts w:ascii="Trebuchet MS" w:hAnsi="Trebuchet MS"/>
          <w:sz w:val="40"/>
          <w:szCs w:val="40"/>
          <w:rtl w:val="0"/>
          <w:lang w:val="en-US"/>
        </w:rPr>
        <w:t xml:space="preserve"> Identify opportunities to provide digital health consumers with visual search results that are more representative of America</w:t>
      </w:r>
      <w:r>
        <w:rPr>
          <w:rFonts w:ascii="Trebuchet MS" w:hAnsi="Trebuchet MS" w:hint="default"/>
          <w:sz w:val="40"/>
          <w:szCs w:val="40"/>
          <w:rtl w:val="1"/>
        </w:rPr>
        <w:t>’</w:t>
      </w:r>
      <w:r>
        <w:rPr>
          <w:rFonts w:ascii="Trebuchet MS" w:hAnsi="Trebuchet MS"/>
          <w:sz w:val="40"/>
          <w:szCs w:val="40"/>
          <w:rtl w:val="0"/>
          <w:lang w:val="fr-FR"/>
        </w:rPr>
        <w:t>s diverse populations.</w:t>
      </w:r>
    </w:p>
    <w:p>
      <w:pPr>
        <w:pStyle w:val="Default"/>
        <w:bidi w:val="0"/>
        <w:spacing w:before="0" w:line="240" w:lineRule="auto"/>
        <w:ind w:left="0" w:right="0" w:firstLine="0"/>
        <w:jc w:val="left"/>
        <w:rPr>
          <w:rFonts w:ascii="Times New Roman" w:cs="Times New Roman" w:hAnsi="Times New Roman" w:eastAsia="Times New Roman"/>
          <w:sz w:val="36"/>
          <w:szCs w:val="36"/>
          <w:rtl w:val="0"/>
        </w:rPr>
      </w:pPr>
    </w:p>
    <w:p>
      <w:pPr>
        <w:pStyle w:val="Default"/>
        <w:numPr>
          <w:ilvl w:val="0"/>
          <w:numId w:val="2"/>
        </w:numPr>
        <w:bidi w:val="0"/>
        <w:spacing w:before="0" w:line="240" w:lineRule="auto"/>
        <w:ind w:right="0"/>
        <w:jc w:val="left"/>
        <w:rPr>
          <w:rFonts w:ascii="Trebuchet MS" w:hAnsi="Trebuchet MS"/>
          <w:sz w:val="40"/>
          <w:szCs w:val="40"/>
          <w:rtl w:val="0"/>
          <w:lang w:val="en-US"/>
        </w:rPr>
      </w:pPr>
      <w:r>
        <w:rPr>
          <w:rFonts w:ascii="Trebuchet MS" w:hAnsi="Trebuchet MS"/>
          <w:b w:val="1"/>
          <w:bCs w:val="1"/>
          <w:sz w:val="40"/>
          <w:szCs w:val="40"/>
          <w:rtl w:val="0"/>
          <w:lang w:val="en-US"/>
        </w:rPr>
        <w:t>Issue:</w:t>
      </w:r>
      <w:r>
        <w:rPr>
          <w:rFonts w:ascii="Trebuchet MS" w:hAnsi="Trebuchet MS"/>
          <w:sz w:val="40"/>
          <w:szCs w:val="40"/>
          <w:rtl w:val="0"/>
          <w:lang w:val="en-US"/>
        </w:rPr>
        <w:t xml:space="preserve"> Digitally indexed imagery and photography relating to many medical conditions skews Caucasian (ex. </w:t>
      </w:r>
      <w:r>
        <w:rPr>
          <w:rFonts w:ascii="Trebuchet MS" w:hAnsi="Trebuchet MS" w:hint="default"/>
          <w:sz w:val="40"/>
          <w:szCs w:val="40"/>
          <w:rtl w:val="0"/>
        </w:rPr>
        <w:t xml:space="preserve">– </w:t>
      </w:r>
      <w:r>
        <w:rPr>
          <w:rFonts w:ascii="Trebuchet MS" w:hAnsi="Trebuchet MS"/>
          <w:sz w:val="40"/>
          <w:szCs w:val="40"/>
          <w:rtl w:val="0"/>
          <w:lang w:val="en-US"/>
        </w:rPr>
        <w:t xml:space="preserve">plaque psoriasis is typically displayed with white skin tone). As more health consumers utilize digital tools to initiate health-related research, it is known that image libraries on leading consumer-focused health sites are not truly representative of diverse populations. Despite </w:t>
      </w:r>
      <w:r>
        <w:rPr>
          <w:rStyle w:val="Hyperlink.0"/>
          <w:rFonts w:ascii="Trebuchet MS" w:cs="Trebuchet MS" w:hAnsi="Trebuchet MS" w:eastAsia="Trebuchet MS"/>
          <w:sz w:val="40"/>
          <w:szCs w:val="40"/>
          <w:rtl w:val="0"/>
        </w:rPr>
        <w:fldChar w:fldCharType="begin" w:fldLock="0"/>
      </w:r>
      <w:r>
        <w:rPr>
          <w:rStyle w:val="Hyperlink.0"/>
          <w:rFonts w:ascii="Trebuchet MS" w:cs="Trebuchet MS" w:hAnsi="Trebuchet MS" w:eastAsia="Trebuchet MS"/>
          <w:sz w:val="40"/>
          <w:szCs w:val="40"/>
          <w:rtl w:val="0"/>
        </w:rPr>
        <w:instrText xml:space="preserve"> HYPERLINK "https://blog.google/technology/health/ai-dermatology-preview-io-2021/"</w:instrText>
      </w:r>
      <w:r>
        <w:rPr>
          <w:rStyle w:val="Hyperlink.0"/>
          <w:rFonts w:ascii="Trebuchet MS" w:cs="Trebuchet MS" w:hAnsi="Trebuchet MS" w:eastAsia="Trebuchet MS"/>
          <w:sz w:val="40"/>
          <w:szCs w:val="40"/>
          <w:rtl w:val="0"/>
        </w:rPr>
        <w:fldChar w:fldCharType="separate" w:fldLock="0"/>
      </w:r>
      <w:r>
        <w:rPr>
          <w:rStyle w:val="Hyperlink.0"/>
          <w:rFonts w:ascii="Trebuchet MS" w:hAnsi="Trebuchet MS"/>
          <w:sz w:val="40"/>
          <w:szCs w:val="40"/>
          <w:rtl w:val="0"/>
          <w:lang w:val="en-US"/>
        </w:rPr>
        <w:t>Google developing AI</w:t>
      </w:r>
      <w:r>
        <w:rPr>
          <w:rFonts w:ascii="Trebuchet MS" w:cs="Trebuchet MS" w:hAnsi="Trebuchet MS" w:eastAsia="Trebuchet MS"/>
          <w:sz w:val="40"/>
          <w:szCs w:val="40"/>
          <w:rtl w:val="0"/>
        </w:rPr>
        <w:fldChar w:fldCharType="end" w:fldLock="0"/>
      </w:r>
      <w:r>
        <w:rPr>
          <w:rFonts w:ascii="Trebuchet MS" w:hAnsi="Trebuchet MS"/>
          <w:sz w:val="40"/>
          <w:szCs w:val="40"/>
          <w:rtl w:val="0"/>
          <w:lang w:val="en-US"/>
        </w:rPr>
        <w:t xml:space="preserve"> to provide image recognition of common skin diseases, traditional consumer health sites (ex. </w:t>
      </w:r>
      <w:r>
        <w:rPr>
          <w:rFonts w:ascii="Trebuchet MS" w:hAnsi="Trebuchet MS" w:hint="default"/>
          <w:sz w:val="40"/>
          <w:szCs w:val="40"/>
          <w:rtl w:val="0"/>
        </w:rPr>
        <w:t xml:space="preserve">– </w:t>
      </w:r>
      <w:r>
        <w:rPr>
          <w:rFonts w:ascii="Trebuchet MS" w:hAnsi="Trebuchet MS"/>
          <w:sz w:val="40"/>
          <w:szCs w:val="40"/>
          <w:rtl w:val="0"/>
          <w:lang w:val="en-US"/>
        </w:rPr>
        <w:t>WebMD, Mayo Clinic, KidsHealth, etc.) have been less progressive in updating the level of diversity within condition-specific image libraries.</w:t>
      </w:r>
    </w:p>
    <w:p>
      <w:pPr>
        <w:pStyle w:val="Default"/>
        <w:bidi w:val="0"/>
        <w:spacing w:before="0" w:line="240" w:lineRule="auto"/>
        <w:ind w:left="0" w:right="0" w:firstLine="0"/>
        <w:jc w:val="left"/>
        <w:rPr>
          <w:rStyle w:val="None"/>
          <w:rFonts w:ascii="Times New Roman" w:cs="Times New Roman" w:hAnsi="Times New Roman" w:eastAsia="Times New Roman"/>
          <w:sz w:val="36"/>
          <w:szCs w:val="36"/>
          <w:rtl w:val="0"/>
        </w:rPr>
      </w:pPr>
    </w:p>
    <w:p>
      <w:pPr>
        <w:pStyle w:val="Default"/>
        <w:numPr>
          <w:ilvl w:val="0"/>
          <w:numId w:val="2"/>
        </w:numPr>
        <w:bidi w:val="0"/>
        <w:spacing w:before="0" w:line="240" w:lineRule="auto"/>
        <w:ind w:right="0"/>
        <w:jc w:val="left"/>
        <w:rPr>
          <w:rFonts w:ascii="Trebuchet MS" w:hAnsi="Trebuchet MS"/>
          <w:sz w:val="40"/>
          <w:szCs w:val="40"/>
          <w:rtl w:val="0"/>
          <w:lang w:val="en-US"/>
        </w:rPr>
      </w:pPr>
      <w:r>
        <w:rPr>
          <w:rStyle w:val="None"/>
          <w:rFonts w:ascii="Trebuchet MS" w:hAnsi="Trebuchet MS"/>
          <w:b w:val="1"/>
          <w:bCs w:val="1"/>
          <w:sz w:val="40"/>
          <w:szCs w:val="40"/>
          <w:rtl w:val="0"/>
          <w:lang w:val="en-US"/>
        </w:rPr>
        <w:t>Method:</w:t>
      </w:r>
      <w:r>
        <w:rPr>
          <w:rFonts w:ascii="Trebuchet MS" w:hAnsi="Trebuchet MS"/>
          <w:sz w:val="40"/>
          <w:szCs w:val="40"/>
          <w:rtl w:val="0"/>
          <w:lang w:val="en-US"/>
        </w:rPr>
        <w:t xml:space="preserve"> Identify leading skin condition searches (ex. </w:t>
      </w:r>
      <w:r>
        <w:rPr>
          <w:rFonts w:ascii="Trebuchet MS" w:hAnsi="Trebuchet MS" w:hint="default"/>
          <w:sz w:val="40"/>
          <w:szCs w:val="40"/>
          <w:rtl w:val="0"/>
        </w:rPr>
        <w:t xml:space="preserve">– </w:t>
      </w:r>
      <w:r>
        <w:rPr>
          <w:rFonts w:ascii="Trebuchet MS" w:hAnsi="Trebuchet MS"/>
          <w:sz w:val="40"/>
          <w:szCs w:val="40"/>
          <w:rtl w:val="0"/>
          <w:lang w:val="en-US"/>
        </w:rPr>
        <w:t>acne, atopic dermatitis, shingles, hives, contact dermatitis, diaper rash, rosacea, etc.) and leading search results by search engine results page (SERP) to determine site review prioritization. As search data does not include the demographic detail of the individual searcher, condition and/or disease state data could help guide condition prioritization.</w:t>
      </w:r>
    </w:p>
    <w:p>
      <w:pPr>
        <w:pStyle w:val="Default"/>
        <w:bidi w:val="0"/>
        <w:spacing w:before="0" w:line="240" w:lineRule="auto"/>
        <w:ind w:left="0" w:right="0" w:firstLine="0"/>
        <w:jc w:val="left"/>
        <w:rPr>
          <w:rStyle w:val="None"/>
          <w:rFonts w:ascii="Times New Roman" w:cs="Times New Roman" w:hAnsi="Times New Roman" w:eastAsia="Times New Roman"/>
          <w:sz w:val="36"/>
          <w:szCs w:val="36"/>
          <w:rtl w:val="0"/>
        </w:rPr>
      </w:pPr>
    </w:p>
    <w:p>
      <w:pPr>
        <w:pStyle w:val="Default"/>
        <w:bidi w:val="0"/>
        <w:spacing w:before="0" w:line="240" w:lineRule="auto"/>
        <w:ind w:left="0" w:right="0" w:firstLine="0"/>
        <w:jc w:val="left"/>
        <w:rPr>
          <w:rStyle w:val="None"/>
          <w:rFonts w:ascii="Times New Roman" w:cs="Times New Roman" w:hAnsi="Times New Roman" w:eastAsia="Times New Roman"/>
          <w:sz w:val="36"/>
          <w:szCs w:val="36"/>
          <w:rtl w:val="0"/>
        </w:rPr>
      </w:pPr>
      <w:r>
        <w:rPr>
          <w:rStyle w:val="None"/>
          <w:rFonts w:ascii="Symbol" w:hAnsi="Symbol" w:hint="default"/>
          <w:sz w:val="20"/>
          <w:szCs w:val="20"/>
          <w:rtl w:val="0"/>
        </w:rPr>
        <w:t xml:space="preserve">· </w:t>
      </w:r>
      <w:r>
        <w:rPr>
          <w:rStyle w:val="None"/>
          <w:rFonts w:ascii="Trebuchet MS" w:hAnsi="Trebuchet MS"/>
          <w:b w:val="1"/>
          <w:bCs w:val="1"/>
          <w:sz w:val="40"/>
          <w:szCs w:val="40"/>
          <w:rtl w:val="0"/>
          <w:lang w:val="en-US"/>
        </w:rPr>
        <w:t xml:space="preserve">Potential Output: </w:t>
      </w:r>
      <w:r>
        <w:rPr>
          <w:rFonts w:ascii="Trebuchet MS" w:hAnsi="Trebuchet MS"/>
          <w:sz w:val="40"/>
          <w:szCs w:val="40"/>
          <w:rtl w:val="0"/>
          <w:lang w:val="en-US"/>
        </w:rPr>
        <w:t>Present a use case to highlight the need for providers of consumer-focused healthcare information to develop an expanded library of visual imagery that is representative of the condition and/or disease state population, as well as more representative of the U.S. population.</w:t>
      </w:r>
    </w:p>
    <w:p>
      <w:pPr>
        <w:pStyle w:val="Default"/>
        <w:bidi w:val="0"/>
        <w:spacing w:before="0" w:line="240" w:lineRule="auto"/>
        <w:ind w:left="0" w:right="0" w:firstLine="0"/>
        <w:jc w:val="left"/>
        <w:rPr>
          <w:rtl w:val="0"/>
        </w:rPr>
      </w:pPr>
      <w:r>
        <w:rPr>
          <w:rFonts w:ascii="Times New Roman" w:hAnsi="Times New Roman" w:hint="default"/>
          <w:sz w:val="36"/>
          <w:szCs w:val="36"/>
          <w:rtl w:val="0"/>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07" w:hanging="327"/>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0000fe"/>
      <w:u w:val="single" w:color="0000f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